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ԱԲՈՎՅԱՆ ՀԱՄԱՅՆՔԻ ՏԱՐԱԾԱԿԱՆ ՊԼԱՆԱՎՈՐՄԱՆ ՓԱՍՏԱԹՂԹԵՐԻ ՆԱԽԱԳԾԻ ԱԲՈՎՅԱՆ ՔԱՂԱՔԻ, ԱՌԻՆՋ ԲՆԱԿԱՎԱՅՐԻ ԳՈՏԵՎՈՐՄԱՆ ՀԱՏԱԿԱԳԾԵՐԻ ՓՈՓՈԽՈՒԹՅՈՒՆՆԵՐԸ ՀԱՍՏԱՏԵԼՈՒ ԵՎ ՀԱՅԱՍՏԱՆԻ ՀԱՆՐԱՊԵՏՈՒԹՅԱՆ ԿՈՏԱՅՔԻ ՄԱՐԶԻ ԱԲՈՎՅԱՆ ՀԱՄԱՅՆՔԻ ԱՎԱԳԱՆՈՒ 2024 ԹՎԱԿԱՆԻ ՕԳՈՍՏՈՍԻ 13-Ի N 111-Ն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lang w:val="hy-HY"/>
          <w:b w:val="1"/>
          <w:bCs w:val="1"/>
        </w:rPr>
        <w:t xml:space="preserve">ՆԱԽԱԳԻԾ</w:t>
      </w:r>
    </w:p>
    <w:p>
      <w:pPr>
        <w:jc w:val="center"/>
      </w:pPr>
      <w:r>
        <w:rPr>
          <w:rFonts w:ascii="'Calibri'" w:hAnsi="'Calibri'" w:eastAsia="'Calibri'" w:cs="'Calibri'"/>
          <w:sz w:val="32"/>
          <w:szCs w:val="32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ԱԲՈՎՅԱՆ ՀԱՄԱՅՆՔԻ ԱՎԱԳԱՆԻ</w:t>
      </w:r>
      <w:br/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  <w:sz w:val="32"/>
          <w:szCs w:val="32"/>
        </w:rPr>
        <w:t xml:space="preserve">  </w:t>
      </w:r>
      <w:br/>
      <w:br/>
      <w:r>
        <w:rPr>
          <w:color w:val="black"/>
        </w:rPr>
        <w:t xml:space="preserve">__________________________ թվականի</w:t>
      </w:r>
      <w:r>
        <w:rPr>
          <w:rFonts w:ascii="'Calibri'" w:hAnsi="'Calibri'" w:eastAsia="'Calibri'" w:cs="'Calibri'"/>
          <w:color w:val="black"/>
        </w:rPr>
        <w:t xml:space="preserve"> </w:t>
      </w:r>
      <w:r>
        <w:rPr>
          <w:color w:val="black"/>
        </w:rPr>
        <w:t xml:space="preserve">N</w:t>
      </w:r>
      <w:r>
        <w:rPr>
          <w:rFonts w:ascii="'Calibri'" w:hAnsi="'Calibri'" w:eastAsia="'Calibri'" w:cs="'Calibri'"/>
          <w:color w:val="black"/>
        </w:rPr>
        <w:t xml:space="preserve"> </w:t>
      </w:r>
      <w:r>
        <w:rPr>
          <w:color w:val="black"/>
        </w:rPr>
        <w:t xml:space="preserve">___-</w:t>
      </w:r>
      <w:r>
        <w:rPr>
          <w:lang w:val="hy-HY"/>
          <w:color w:val="black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ԱԲՈՎՅԱՆ ՀԱՄԱՅՆՔԻ ՏԱՐԱԾԱԿԱՆ ՊԼԱՆԱՎՈՐՄԱՆ ՓԱՍՏԱԹՂԹԵՐԻ ՆԱԽԱԳԾԻ ԱԲՈՎՅԱՆ ՔԱՂԱՔԻ, ԱՌԻՆՋ ԲՆԱԿԱՎԱՅՐԻ ԳՈՏԵՎՈՐՄԱՆ ՀԱՏԱԿԱԳԾԵՐԻ ՓՈՓՈԽՈՒԹՅՈՒՆՆԵՐԸ ՀԱՍՏԱՏԵԼՈՒ ԵՎ ՀԱՅԱՍՏԱՆԻ ՀԱՆՐԱՊԵՏՈՒԹՅԱՆ ԿՈՏԱՅՔԻ ՄԱՐԶԻ ԱԲՈՎՅԱՆ ՀԱՄԱՅՆՔԻ ԱՎԱԳԱՆՈՒ 2024 ԹՎԱԿԱՆԻ ՕԳՈՍՏՈՍԻ 13-Ի N 111-Ն ՈՐՈՇՄԱՆ ՄԵՋ ՓՈՓՈԽՈՒԹՅՈՒՆՆԵՐ ԵՎ ԼՐԱՑՈՒՄՆԵՐ ԿԱՏԱՐԵԼՈՒ ՄԱՍԻՆ</w:t>
      </w:r>
    </w:p>
    <w:p>
      <w:pPr>
        <w:jc w:val="both"/>
      </w:pPr>
      <w:r>
        <w:rPr>
          <w:lang w:val="hy-HY"/>
        </w:rPr>
        <w:t xml:space="preserve">Համաձայն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Հայաստանի Հանրապետության հողային օրենսգրքի 3-րդ և 8-րդ հոդվածների,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«</w:t>
      </w:r>
      <w:r>
        <w:rPr>
          <w:lang w:val="hy-HY"/>
        </w:rPr>
        <w:t xml:space="preserve">Տեղական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ինքնակառավարման մասին»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օրենքի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PT-BR"/>
        </w:rPr>
        <w:t xml:space="preserve">18-</w:t>
      </w:r>
      <w:r>
        <w:rPr>
          <w:lang w:val="hy-HY"/>
        </w:rPr>
        <w:t xml:space="preserve">րդ հոդվածի 1-ին մասի 29-րդ կետի,</w:t>
      </w:r>
      <w:r>
        <w:rPr>
          <w:rFonts w:ascii="'Calibri'" w:hAnsi="'Calibri'" w:eastAsia="'Calibri'" w:cs="'Calibri'"/>
          <w:lang w:val="hy-HY"/>
        </w:rPr>
        <w:t xml:space="preserve">  </w:t>
      </w:r>
      <w:r>
        <w:rPr>
          <w:lang w:val="hy-HY"/>
        </w:rPr>
        <w:t xml:space="preserve">«</w:t>
      </w:r>
      <w:r>
        <w:rPr>
          <w:lang w:val="hy-HY"/>
        </w:rPr>
        <w:t xml:space="preserve">Նորմատիվ իրավական ակտերի մասին»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օրենքի 33-րդ և 34-րդ հոդվածների,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«Քաղաքաշինության մասին»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օրենքի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14</w:t>
      </w:r>
      <w:r>
        <w:rPr>
          <w:lang w:val="hy-HY"/>
          <w:vertAlign w:val="superscript"/>
        </w:rPr>
        <w:t xml:space="preserve">3</w:t>
      </w:r>
      <w:r>
        <w:rPr>
          <w:lang w:val="hy-HY"/>
        </w:rPr>
        <w:t xml:space="preserve">-րդ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հոդվածի 15-րդ մասի,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PT-BR"/>
        </w:rPr>
        <w:t xml:space="preserve">Հայաստանի Հանրապետության</w:t>
      </w:r>
      <w:r>
        <w:rPr>
          <w:rFonts w:ascii="'Calibri'" w:hAnsi="'Calibri'" w:eastAsia="'Calibri'" w:cs="'Calibri'"/>
          <w:lang w:val="PT-BR"/>
        </w:rPr>
        <w:t xml:space="preserve"> </w:t>
      </w:r>
      <w:r>
        <w:rPr>
          <w:lang w:val="hy-HY"/>
        </w:rPr>
        <w:t xml:space="preserve">կառավարության 2011 թվականի դեկտեմբերի 29-ի N 1920-Ն որոշման հավելված 1-ով հաստատված կարգի 11-րդ կետի, 24-րդ կետի 3-րդ ենթակետի, Աբովյան համայնքի ավագանին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 է.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 </w:t>
      </w:r>
      <w:br/>
      <w:r>
        <w:rPr>
          <w:lang w:val="hy-HY"/>
        </w:rPr>
        <w:t xml:space="preserve">1. Հաստատել Աբովյան համայնքի ղեկավարի 2026 թվականի մարտի 04-ի N 1068, N 1069 և N 1070 որոշումներով Աբովյան համայնքի Աբովյան քաղաքի և Առինջ բնակավայրի գոտևորման հատակագծերում կատարված 07-002-0116-0174, 07-011-0274-0017 և 07-011-0358-0116 կադաստրային ծածկագրերով հողամասերի կառուցապատման չափորոշիչների փոփոխությունները։</w:t>
      </w:r>
      <w:r>
        <w:rPr>
          <w:lang w:val="hy-HY"/>
        </w:rPr>
        <w:t xml:space="preserve">        </w:t>
      </w:r>
      <w:br/>
      <w:r>
        <w:rPr>
          <w:lang w:val="hy-HY"/>
        </w:rPr>
        <w:t xml:space="preserve">2.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Հայաստանի Հանրապետության Կոտայքի մարզի Աբովյան համայնքի ավագանու 2024 թվականի օգոստոսի 13-ի «Հայաստանի Հանրապետության Կոտայքի մարզի Աբովյան համայնքի տարածական պլանավորման փաստաթղթերի նախագիծը հաստատելու մասին» N 111-Ն որոշման մեջ կատարել հետևյալ փոփոխությունները և լրացումները.</w:t>
      </w:r>
      <w:br/>
      <w:r>
        <w:rPr>
          <w:lang w:val="hy-HY"/>
        </w:rPr>
        <w:t xml:space="preserve">1)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որոշմամբ հաստատված հավելվածի գծագրական և տեքստային մասում՝ Աբովյան քաղաքի գոտևորման հատակագծում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>
          <w:lang w:val="hy-HY"/>
        </w:rPr>
        <w:t xml:space="preserve">Աբովյան համայնքի Աբովյան քաղաքում գտնվող ֆիզիկական անձի սեփականություն հանդիսացող 07-002-0116-0174 կադաստրային ծածկագրով 0.15683 հեկտար մակերեսով բնակավայրերի նպատակային նշանակության բնակելի կառուցապատման հողամասի համար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սահմանել բարձր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հարկայնության բնակելի կառուցապատման գոտի՝ ԲՆԿԳ-4։</w:t>
      </w:r>
      <w:r>
        <w:rPr>
          <w:lang w:val="hy-HY"/>
        </w:rPr>
        <w:t xml:space="preserve">       </w:t>
      </w:r>
      <w:r>
        <w:rPr>
          <w:lang w:val="hy-HY"/>
        </w:rPr>
        <w:t xml:space="preserve"> Գոտևորման հատակագծում 07-002-0116-0174 կադաստրային ծածկագրով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հողամասի վրա լրացնել «ԲՆԿԳ-4» բառերը, գործառնական գոտիների կառուցապատման չափորոշիչների աղյուսակը լրացնել նոր ԲՆԿԳ-4 տողով՝</w:t>
      </w:r>
      <w:r>
        <w:rPr>
          <w:rFonts w:ascii="'Calibri'" w:hAnsi="'Calibri'" w:eastAsia="'Calibri'" w:cs="'Calibri'"/>
          <w:lang w:val="hy-HY"/>
        </w:rPr>
        <w:t xml:space="preserve"> </w:t>
      </w:r>
    </w:p>
    <w:tbl>
      <w:tblGrid>
        <w:gridCol w:w="1900" w:type="dxa"/>
        <w:gridCol w:w="300" w:type="dxa"/>
        <w:gridCol w:w="1500" w:type="dxa"/>
        <w:gridCol w:w="1300" w:type="dxa"/>
        <w:gridCol w:w="140" w:type="dxa"/>
        <w:gridCol w:w="100" w:type="dxa"/>
        <w:gridCol w:w="140" w:type="dxa"/>
        <w:gridCol w:w="140" w:type="dxa"/>
        <w:gridCol w:w="1900" w:type="dxa"/>
        <w:gridCol w:w="0" w:type="dxa"/>
        <w:gridCol w:w="80" w:type="dxa"/>
      </w:tblGrid>
      <w:tblPr>
        <w:tblW w:w="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30" w:hRule="exact"/>
        </w:trPr>
        <w:tc>
          <w:tcPr>
            <w:tcW w:w="1900" w:type="dxa"/>
            <w:noWrap/>
          </w:tcPr>
          <w:p>
            <w:pPr>
              <w:jc w:val="center"/>
            </w:pPr>
            <w:r>
              <w:rPr>
                <w:rFonts w:ascii="'Calibri'" w:hAnsi="'Calibri'" w:eastAsia="'Calibri'" w:cs="'Calibri'"/>
                <w:lang w:val="hy-HY"/>
              </w:rPr>
              <w:t xml:space="preserve">«</w:t>
            </w:r>
          </w:p>
        </w:tc>
        <w:tc>
          <w:tcPr>
            <w:tcW w:w="300" w:type="dxa"/>
            <w:noWrap/>
          </w:tcPr>
          <w:p>
            <w:pPr/>
            <w:r>
              <w:rPr>
                <w:rFonts w:ascii="'Calibri'" w:hAnsi="'Calibri'" w:eastAsia="'Calibri'" w:cs="'Calibri'"/>
                <w:lang w:val="hy-HY"/>
              </w:rPr>
              <w:t xml:space="preserve"> </w:t>
            </w:r>
            <w:r>
              <w:rPr/>
              <w:t xml:space="preserve">ԲՆԿԳ</w:t>
            </w:r>
            <w:r>
              <w:rPr/>
              <w:t xml:space="preserve">-4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>
                <w:rFonts w:ascii="'Calibri'" w:hAnsi="'Calibri'" w:eastAsia="'Calibri'" w:cs="'Calibri'"/>
              </w:rPr>
              <w:t xml:space="preserve"> </w:t>
            </w:r>
            <w:r>
              <w:rPr/>
              <w:t xml:space="preserve">Բարձրահարկ</w:t>
            </w:r>
            <w:r>
              <w:rPr/>
              <w:t xml:space="preserve"> </w:t>
            </w:r>
            <w:r>
              <w:rPr/>
              <w:t xml:space="preserve">կառուցապատման</w:t>
            </w:r>
            <w:r>
              <w:rPr/>
              <w:t xml:space="preserve"> </w:t>
            </w:r>
            <w:r>
              <w:rPr/>
              <w:t xml:space="preserve">գոտի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300" w:type="dxa"/>
            <w:noWrap/>
          </w:tcPr>
          <w:p>
            <w:pPr/>
            <w:r>
              <w:rPr>
                <w:rFonts w:ascii="'Calibri'" w:hAnsi="'Calibri'" w:eastAsia="'Calibri'" w:cs="'Calibri'"/>
              </w:rPr>
              <w:t xml:space="preserve"> </w:t>
            </w:r>
            <w:r>
              <w:rPr/>
              <w:t xml:space="preserve">0,15686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40" w:type="dxa"/>
            <w:noWrap/>
          </w:tcPr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100" w:type="dxa"/>
            <w:noWrap/>
          </w:tcPr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140" w:type="dxa"/>
            <w:noWrap/>
          </w:tcPr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/>
            <w:r>
              <w:rPr/>
              <w:t xml:space="preserve">9-</w:t>
            </w:r>
            <w:r>
              <w:rPr/>
              <w:t xml:space="preserve">ից</w:t>
            </w:r>
            <w:r>
              <w:rPr/>
              <w:t xml:space="preserve"> </w:t>
            </w:r>
            <w:r>
              <w:rPr/>
              <w:t xml:space="preserve">ավելի</w:t>
            </w:r>
            <w:r>
              <w:rPr/>
              <w:t xml:space="preserve"> </w:t>
            </w:r>
            <w:r>
              <w:rPr/>
              <w:t xml:space="preserve">վերգետնյա</w:t>
            </w:r>
            <w:r>
              <w:rPr/>
              <w:t xml:space="preserve"> </w:t>
            </w:r>
            <w:r>
              <w:rPr/>
              <w:t xml:space="preserve">հարկ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9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sz w:val="27"/>
                <w:szCs w:val="27"/>
              </w:rPr>
              <w:t xml:space="preserve"> </w:t>
            </w:r>
          </w:p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sz w:val="27"/>
                <w:szCs w:val="27"/>
              </w:rPr>
              <w:t xml:space="preserve"> </w:t>
            </w:r>
          </w:p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80" w:type="dxa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sz w:val="27"/>
                <w:szCs w:val="27"/>
              </w:rPr>
              <w:t xml:space="preserve">»</w:t>
            </w:r>
          </w:p>
        </w:tc>
      </w:tr>
    </w:tbl>
    <w:p>
      <w:pPr>
        <w:jc w:val="both"/>
      </w:pPr>
      <w:r>
        <w:rPr>
          <w:color w:val="white"/>
        </w:rPr>
        <w:t xml:space="preserve">2)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որոշմամբ հաստատված հավելվածի գծագրական և տեքստային մասում՝ Առինջ բնակավայրի գոտևորման հատակագծում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Աբովյան համայնքի Առինջ գյուղում գտնվող իրավաբանական անձի սեփականություն հանդիսացող 07-011-0274-0017 կադաստրային ծածկագրով 0.88943 հեկտար մակերեսով բնակավայրերի նպատակային նշանակության բնակելի կառուցապատման հողամասի համար</w:t>
      </w:r>
      <w:r>
        <w:rPr>
          <w:rFonts w:ascii="'Calibri'" w:hAnsi="'Calibri'" w:eastAsia="'Calibri'" w:cs="'Calibri'"/>
        </w:rPr>
        <w:t xml:space="preserve"> </w:t>
      </w:r>
      <w:r>
        <w:rPr>
          <w:lang w:val="hy-HY"/>
        </w:rPr>
        <w:t xml:space="preserve">սահմանել</w:t>
      </w:r>
      <w:r>
        <w:rPr/>
        <w:t xml:space="preserve"> </w:t>
      </w:r>
      <w:r>
        <w:rPr>
          <w:lang w:val="hy-HY"/>
        </w:rPr>
        <w:t xml:space="preserve">6-9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վերգետնյա հարկայնությամբ միջին հարկայնության բնակելի կառուցապատման գոտի՝ ԲՆԿԳ-3։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Գործառնական գոտիների կառուցապատման չափորոշիչների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աղյուսակի ԲՆԿԳ-3 տողի 3-րդ սյունակում «9.2284» թիվը փոխարինել «10.1178» թվով, իսկ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«</w:t>
      </w:r>
      <w:r>
        <w:rPr/>
        <w:t xml:space="preserve">56.2614</w:t>
      </w:r>
      <w:r>
        <w:rPr/>
        <w:t xml:space="preserve">»</w:t>
      </w:r>
      <w:r>
        <w:rPr/>
        <w:t xml:space="preserve"> թիվը փոխարինել «55.372» թվով,</w:t>
      </w:r>
      <w:br/>
      <w:r>
        <w:rPr/>
        <w:t xml:space="preserve">3)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որոշմամբ հաստատված հավելվածի գծագրական և տեքստային մասում՝ Առինջ բնակավայրի գոտևորման հատակագծում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Աբովյան համայնքի Առինջ գյուղում գտնվող իրավաբանական անձի սեփականություն հանդիսացող 07-011-0358-0116 կադաստրային ծածկագրով 0.2015 հեկտար մակերեսով բնակավայրերի նպատակային նշանակության բնակելի կառուցապատման հողամասի համար</w:t>
      </w:r>
      <w:r>
        <w:rPr>
          <w:rFonts w:ascii="'Calibri'" w:hAnsi="'Calibri'" w:eastAsia="'Calibri'" w:cs="'Calibri'"/>
        </w:rPr>
        <w:t xml:space="preserve"> </w:t>
      </w:r>
      <w:r>
        <w:rPr>
          <w:lang w:val="hy-HY"/>
        </w:rPr>
        <w:t xml:space="preserve">սահմանել</w:t>
      </w:r>
      <w:r>
        <w:rPr/>
        <w:t xml:space="preserve"> </w:t>
      </w:r>
      <w:r>
        <w:rPr>
          <w:lang w:val="hy-HY"/>
        </w:rPr>
        <w:t xml:space="preserve">10</w:t>
      </w:r>
      <w:r>
        <w:rPr>
          <w:rFonts w:ascii="'Calibri'" w:hAnsi="'Calibri'" w:eastAsia="'Calibri'" w:cs="'Calibri'"/>
          <w:lang w:val="hy-HY"/>
        </w:rPr>
        <w:t xml:space="preserve"> </w:t>
      </w:r>
      <w:r>
        <w:rPr/>
        <w:t xml:space="preserve">վերգետնյա հարկայնությամբ բարձրահարկ բնակելի կառուցապատման գոտի՝ ԲՆԿԳ-4։</w:t>
      </w:r>
      <w:r>
        <w:rPr>
          <w:rFonts w:ascii="'Calibri'" w:hAnsi="'Calibri'" w:eastAsia="'Calibri'" w:cs="'Calibri'"/>
        </w:rPr>
        <w:t xml:space="preserve"> </w:t>
      </w:r>
      <w:r>
        <w:rPr/>
        <w:t xml:space="preserve">Գոտևորման հատակագծում 07-011-0358-0116 կադաստրային ծածկագրով</w:t>
      </w:r>
      <w:r>
        <w:rPr>
          <w:rFonts w:ascii="'Calibri'" w:hAnsi="'Calibri'" w:eastAsia="'Calibri'" w:cs="'Calibri'"/>
        </w:rPr>
        <w:t xml:space="preserve"> </w:t>
      </w:r>
      <w:r>
        <w:rPr/>
        <w:t xml:space="preserve">հողամասի վրա լրացնել «ԲՆԿԳ-4» բառերը,</w:t>
      </w:r>
      <w:r>
        <w:rPr>
          <w:rFonts w:ascii="'Calibri'" w:hAnsi="'Calibri'" w:eastAsia="'Calibri'" w:cs="'Calibri'"/>
        </w:rPr>
        <w:t xml:space="preserve"> </w:t>
      </w:r>
      <w:r>
        <w:rPr/>
        <w:t xml:space="preserve">գործառնական գոտիների կառուցապատման չափորոշիչների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աղյուսակի ԲՆԿԳ-1/1 տողի 3-րդ սյունակում «540.06» թիվը փոխարինել «539.8585» թվով և աղյուսակը լրացնել նոր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ԲՆԿԳ-4 տողով՝</w:t>
      </w:r>
      <w:r>
        <w:rPr>
          <w:rFonts w:ascii="'Calibri'" w:hAnsi="'Calibri'" w:eastAsia="'Calibri'" w:cs="'Calibri'"/>
        </w:rPr>
        <w:t xml:space="preserve"> </w:t>
      </w:r>
    </w:p>
    <w:tbl>
      <w:tblGrid>
        <w:gridCol w:w="180" w:type="dxa"/>
        <w:gridCol w:w="500" w:type="dxa"/>
        <w:gridCol w:w="160" w:type="dxa"/>
        <w:gridCol w:w="1300" w:type="dxa"/>
        <w:gridCol w:w="500" w:type="dxa"/>
        <w:gridCol w:w="40" w:type="dxa"/>
        <w:gridCol w:w="500" w:type="dxa"/>
        <w:gridCol w:w="100" w:type="dxa"/>
        <w:gridCol w:w="300" w:type="dxa"/>
        <w:gridCol w:w="60" w:type="dxa"/>
        <w:gridCol w:w="1700" w:type="dxa"/>
      </w:tblGrid>
      <w:tblPr>
        <w:tblW w:w="10005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30" w:hRule="exact"/>
        </w:trPr>
        <w:tc>
          <w:tcPr>
            <w:tcW w:w="180" w:type="dxa"/>
            <w:vAlign w:val="top"/>
            <w:noWrap/>
          </w:tcPr>
          <w:p>
            <w:pPr/>
            <w:br/>
            <w:r>
              <w:rPr>
                <w:lang w:val="hy-HY"/>
              </w:rPr>
              <w:t xml:space="preserve">«</w:t>
            </w:r>
          </w:p>
        </w:tc>
        <w:tc>
          <w:tcPr>
            <w:tcW w:w="500" w:type="dxa"/>
            <w:noWrap/>
          </w:tcPr>
          <w:p>
            <w:pPr/>
            <w:r>
              <w:rPr>
                <w:rFonts w:ascii="'Calibri'" w:hAnsi="'Calibri'" w:eastAsia="'Calibri'" w:cs="'Calibri'"/>
              </w:rPr>
              <w:t xml:space="preserve"> </w:t>
            </w:r>
            <w:r>
              <w:rPr/>
              <w:t xml:space="preserve">ԲՆԿԳ</w:t>
            </w:r>
            <w:r>
              <w:rPr/>
              <w:t xml:space="preserve">-4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60" w:type="dxa"/>
            <w:noWrap/>
          </w:tcPr>
          <w:p>
            <w:pPr/>
            <w:r>
              <w:rPr>
                <w:rFonts w:ascii="'Calibri'" w:hAnsi="'Calibri'" w:eastAsia="'Calibri'" w:cs="'Calibri'"/>
              </w:rPr>
              <w:t xml:space="preserve"> </w:t>
            </w:r>
            <w:r>
              <w:rPr/>
              <w:t xml:space="preserve">Բարձրահարկ</w:t>
            </w:r>
            <w:r>
              <w:rPr/>
              <w:t xml:space="preserve"> </w:t>
            </w:r>
            <w:r>
              <w:rPr/>
              <w:t xml:space="preserve">կառուցապատման</w:t>
            </w:r>
            <w:r>
              <w:rPr/>
              <w:t xml:space="preserve"> </w:t>
            </w:r>
            <w:r>
              <w:rPr/>
              <w:t xml:space="preserve">գոտի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300" w:type="dxa"/>
            <w:noWrap/>
          </w:tcPr>
          <w:p>
            <w:pPr/>
            <w:r>
              <w:rPr>
                <w:rFonts w:ascii="'Calibri'" w:hAnsi="'Calibri'" w:eastAsia="'Calibri'" w:cs="'Calibri'"/>
              </w:rPr>
              <w:t xml:space="preserve"> </w:t>
            </w:r>
            <w:r>
              <w:rPr/>
              <w:t xml:space="preserve">0,2015</w:t>
            </w:r>
            <w:r>
              <w:rPr>
                <w:rFonts w:ascii="'Calibri'" w:hAnsi="'Calibri'" w:eastAsia="'Calibri'" w:cs="'Calibri'"/>
              </w:rPr>
              <w:t xml:space="preserve"> </w:t>
            </w:r>
            <w:r>
              <w:rPr/>
              <w:t xml:space="preserve"> </w:t>
            </w: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500" w:type="dxa"/>
            <w:noWrap/>
          </w:tcPr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40" w:type="dxa"/>
            <w:noWrap/>
          </w:tcPr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500" w:type="dxa"/>
            <w:noWrap/>
          </w:tcPr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/>
            <w:r>
              <w:rPr/>
              <w:t xml:space="preserve">9-ից ավելի վերգետնյա հարկ</w:t>
            </w:r>
          </w:p>
        </w:tc>
        <w:tc>
          <w:tcPr>
            <w:tcW w:w="3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sz w:val="27"/>
                <w:szCs w:val="27"/>
              </w:rPr>
              <w:t xml:space="preserve"> </w:t>
            </w:r>
          </w:p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6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sz w:val="27"/>
                <w:szCs w:val="27"/>
              </w:rPr>
              <w:t xml:space="preserve"> </w:t>
            </w:r>
          </w:p>
          <w:p>
            <w:pPr/>
            <w:r>
              <w:rPr>
                <w:sz w:val="27"/>
                <w:szCs w:val="27"/>
              </w:rPr>
              <w:t xml:space="preserve"> </w:t>
            </w:r>
          </w:p>
        </w:tc>
        <w:tc>
          <w:tcPr>
            <w:tcW w:w="1700" w:type="dxa"/>
            <w:noWrap/>
          </w:tcPr>
          <w:p>
            <w:pPr/>
            <w:r>
              <w:rPr>
                <w:lang w:val="hy-HY"/>
              </w:rPr>
              <w:t xml:space="preserve">»</w:t>
            </w:r>
          </w:p>
        </w:tc>
      </w:tr>
    </w:tbl>
    <w:p>
      <w:pPr>
        <w:jc w:val="both"/>
      </w:pPr>
      <w:r>
        <w:rPr>
          <w:color w:val="white"/>
        </w:rPr>
        <w:t xml:space="preserve">3.</w:t>
      </w:r>
      <w:r>
        <w:rPr>
          <w:rFonts w:ascii="'Calibri'" w:hAnsi="'Calibri'" w:eastAsia="'Calibri'" w:cs="'Calibri'"/>
        </w:rPr>
        <w:t xml:space="preserve"> </w:t>
      </w: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center"/>
      </w:pPr>
      <w:br/>
      <w:br/>
      <w:r>
        <w:rPr>
          <w:rFonts w:ascii="'GHEA Grapalat'" w:hAnsi="'GHEA Grapalat'" w:eastAsia="'GHEA Grapalat'" w:cs="'GHEA Grapalat'"/>
          <w:b w:val="1"/>
          <w:bCs w:val="1"/>
        </w:rPr>
        <w:t xml:space="preserve">ՀԱՄԱՅՆՔԻ ՂԵԿԱՎԱՐ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Calibri'" w:hAnsi="'Calibri'" w:eastAsia="'Calibri'" w:cs="'Calibri'"/>
          <w:lang w:val="EN-US"/>
          <w:b w:val="1"/>
          <w:bCs w:val="1"/>
        </w:rPr>
        <w:t xml:space="preserve">                           </w:t>
      </w:r>
      <w:r>
        <w:rPr>
          <w:rFonts w:ascii="'GHEA Grapalat'" w:hAnsi="'GHEA Grapalat'" w:eastAsia="'GHEA Grapalat'" w:cs="'GHEA Grapalat'"/>
          <w:lang w:val="EN-US"/>
          <w:b w:val="1"/>
          <w:bCs w:val="1"/>
        </w:rPr>
        <w:t xml:space="preserve"> 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ԷԴՈՒԱՐԴ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ԲԱԲԱՅԱՆ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2026-04-03T10:57:02+04:00</dcterms:created>
  <dcterms:modified xsi:type="dcterms:W3CDTF">2026-04-03T10:57:02+04:00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