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2003 թվականի դեկտեմբերի 24-ի N 1937-Ն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hy-HY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Ո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Ր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Ո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Շ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Ո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Ւ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Մ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</w:p>
    <w:p>
      <w:pPr>
        <w:jc w:val="center"/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«___» _________ 20</w:t>
      </w:r>
      <w:r>
        <w:rPr>
          <w:rFonts w:ascii="'GHEA Grapalat'" w:hAnsi="'GHEA Grapalat'" w:eastAsia="'GHEA Grapalat'" w:cs="'GHEA Grapalat'"/>
          <w:lang w:val="hy-HY"/>
        </w:rPr>
        <w:t xml:space="preserve">25 </w:t>
      </w:r>
      <w:r>
        <w:rPr>
          <w:rFonts w:ascii="'GHEA Grapalat'" w:hAnsi="'GHEA Grapalat'" w:eastAsia="'GHEA Grapalat'" w:cs="'GHEA Grapalat'"/>
          <w:lang w:val="af-AF"/>
        </w:rPr>
        <w:t xml:space="preserve">թվական N __ -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pacing w:val="0"/>
        </w:rPr>
        <w:t xml:space="preserve">ՀԱՅԱՍՏԱՆԻ ՀԱՆՐԱՊԵՏՈՒԹՅԱՆ ԿԱՌԱՎԱՐՈՒԹՅԱՆ </w:t>
      </w:r>
      <w:r>
        <w:rPr>
          <w:rFonts w:ascii="'GHEA Grapalat'" w:hAnsi="'GHEA Grapalat'" w:eastAsia="'GHEA Grapalat'" w:cs="'GHEA Grapalat'"/>
          <w:lang w:val="hy-HY"/>
        </w:rPr>
        <w:t xml:space="preserve">2003 ԹՎԱԿԱՆԻ ԴԵԿՏԵՄԲԵՐԻ 24-Ի N 1937-Ն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ՈՐՈՇՄԱՆ ՄԵՋ ԼՐԱՑՈՒՄ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ԿԱՏԱՐԵԼՈՒ ՄԱՍԻՆ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Ղեկավարվելով «Նորմատիվ իրավական ակտերի մասին» օրենքի 33–րդ և 34-րդ հոդվածներով՝ Հայաստանի Հանրապետության կառավարությունը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որոշում է.</w:t>
      </w:r>
    </w:p>
    <w:p>
      <w:pPr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2003 թվականի դեկտեմբերի 24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–ի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 պետական բյուջեից իրավաբանական անձանց սուբսիդիաների և դրամաշնորհների հատկացման կարգը հաստատելու մասին» N 1937-Ն որոշումը լրացնել նոր 2.2 կետով` հետևյալ բովանդակությամբ</w:t>
      </w:r>
      <w:r>
        <w:rPr>
          <w:rFonts w:ascii="'MS Mincho'" w:hAnsi="'MS Mincho'" w:eastAsia="'MS Mincho'" w:cs="'MS Mincho'"/>
          <w:color w:val="black"/>
          <w:sz w:val="24"/>
          <w:szCs w:val="24"/>
        </w:rPr>
        <w:t xml:space="preserve">․</w:t>
      </w:r>
    </w:p>
    <w:p>
      <w:pPr>
        <w:jc w:val="both"/>
        <w:ind w:left="0" w:right="0" w:firstLine="142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«2.2. Սահմանել, որ սույն որոշումը չի տարածվում գյուղատնտեսության (ագրոպարենային) ոլորտում Հայաստանի Հանրապետության կառավարության առանձին որոշումներով հաստատված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աջակցության ծրագրերով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վարկի կամ լիզինգի տոկոսադրույքի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կամ լիզինգի կանխավճարի մասնակի կամ ամբողջական սուբսիդավորմամբ իրականացվող, ինչպես նաև գյուղատնտեսության ապահովագրության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ոլորտի սուբսիդավորման գործընթացների վրա։ Սույն կետում նշված սուբսիդավորման գործընթացը իրականացվում է աջակցության տրամադրման մասին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 համապատասխան որոշմամբ սահմանված ընթացակարգով։»</w:t>
      </w:r>
      <w:r>
        <w:rPr>
          <w:rFonts w:ascii="'MS Mincho'" w:hAnsi="'MS Mincho'" w:eastAsia="'MS Mincho'" w:cs="'MS Mincho'"/>
          <w:color w:val="black"/>
          <w:sz w:val="24"/>
          <w:szCs w:val="24"/>
        </w:rPr>
        <w:t xml:space="preserve">․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</w:t>
      </w:r>
      <w:r>
        <w:rPr>
          <w:rFonts w:ascii="'MS Mincho'" w:hAnsi="'MS Mincho'" w:eastAsia="'MS Mincho'" w:cs="'MS Mincho'"/>
          <w:lang w:val="ru-RU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 որոշումն ուժի մեջ է մտնում հրապարակմանը հաջորդող օրվանից։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start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</w:t>
      </w:r>
    </w:p>
    <w:p>
      <w:pPr>
        <w:jc w:val="start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2026-04-01T09:49:52+04:00</dcterms:created>
  <dcterms:modified xsi:type="dcterms:W3CDTF">2026-04-01T09:49:52+04:00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