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ԲՈՒԾՈՂԻ ԻՐԱՎՈՒՆՔԻ ՏՐԱՄԱԴՐՄԱՆ ՀԱՄԱՐ ՆԵՐԿԱՅԱՑՎԱԾ ՀԱՅՏԻ ԵՎ ԻՐԱՎՈՒՆՔԻ ՏՐՄԱՆ ՎԵՐԱԲԵՐՅԱԼ ՏԵՂԵԿԱՏՎՈՒԹՅԱՆ, ԱՌԱՋԱՐԿՎԱԾ ԵՎ ՀԱՎԱՆՈՒԹՅԱՆ ԱՐԺԱՆԱՑԱԾ ՍՈՐՏԻ ԱՆՎԱՆՈՒՄՆԵՐԻ ՀՐԱՊԱՐԱԿՄԱՆ ԿԱՐԳԸ ՀԱՍՏԱՏԵԼՈՒ ՄԱՍԻՆ</w:t>
      </w:r>
      <w:bookmarkEnd w:id="0"/>
    </w:p>
    <w:p>
      <w:pPr>
        <w:jc w:val="end"/>
        <w:spacing w:after="160" w:line="254.4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160" w:line="254.4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160" w:line="254.4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160" w:line="254.4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 Ր Ո Շ Ո Ւ Մ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---- ---------------- 2025 թվականի N ------- -Ն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ԲՈՒԾՈՂԻ ԻՐԱՎՈՒՆՔԻ ՏՐԱՄԱԴՐՄԱՆ ՀԱՄԱՐ ՆԵՐԿԱՅԱՑՎԱԾ ՀԱՅՏԻ ԵՎ ԻՐԱՎՈՒՆՔԻ ՏՐՄԱՆ ՎԵՐԱԲԵՐՅԱԼ ՏԵՂԵԿԱՏՎՈՒԹՅԱՆ, ԱՌԱՋԱՐԿՎԱԾ ԵՎ ՀԱՎԱՆՈՒԹՅԱՆ ԱՐԺԱՆԱՑԱԾ ՍՈՐՏԻ ԱՆՎԱՆՈՒՄՆԵՐԻ ՀՐԱՊԱՐԱԿՄԱՆ ԿԱՐԳԸ ՀԱՍՏԱՏԵԼՈՒ ՄԱՍԻՆ</w:t>
      </w:r>
    </w:p>
    <w:p>
      <w:pPr>
        <w:ind w:left="0" w:right="0" w:firstLine="375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375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«Բույսերի սորտերի պահպանության մասին» օրենքի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24-րդ հոդվածի 1-ին մասի 2-րդ կետը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` Հայաստանի Հանրապետության կառավարությունը</w:t>
      </w: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է.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Հաստատել բ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ուծողի իրավունքի տրամադրման համար ներկայացված հայտի և իրավունքի տրման վերաբերյալ տեղեկատվության, առաջարկված և հավանության արժանացած սորտի անվանումների հրապարակման կարգը՝ համաձայն հավելվածի։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հրապարակմանը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օրվանից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15"/>
          <w:szCs w:val="15"/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15"/>
          <w:szCs w:val="15"/>
          <w:b w:val="1"/>
          <w:bCs w:val="1"/>
        </w:rPr>
        <w:t xml:space="preserve">Հավելված</w:t>
      </w:r>
    </w:p>
    <w:p>
      <w:pPr>
        <w:jc w:val="end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15"/>
          <w:szCs w:val="15"/>
          <w:b w:val="1"/>
          <w:bCs w:val="1"/>
        </w:rPr>
        <w:t xml:space="preserve">ՀՀ կառավարության 2025 թվականի</w:t>
      </w:r>
    </w:p>
    <w:p>
      <w:pPr>
        <w:jc w:val="end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15"/>
          <w:szCs w:val="15"/>
          <w:b w:val="1"/>
          <w:bCs w:val="1"/>
        </w:rPr>
        <w:t xml:space="preserve">----------------ի N</w:t>
      </w:r>
      <w:r>
        <w:rPr>
          <w:rFonts w:ascii="'GHEA Grapalat'" w:hAnsi="'GHEA Grapalat'" w:eastAsia="'GHEA Grapalat'" w:cs="'GHEA Grapalat'"/>
          <w:lang w:val="hy-HY"/>
          <w:color w:val="black"/>
          <w:sz w:val="15"/>
          <w:szCs w:val="15"/>
          <w:b w:val="1"/>
          <w:bCs w:val="1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15"/>
          <w:szCs w:val="15"/>
          <w:b w:val="1"/>
          <w:bCs w:val="1"/>
        </w:rPr>
        <w:t xml:space="preserve">-Ն որոշման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ԿԱՐԳ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ԲՈՒԾՈՂԻ ԻՐԱՎՈՒՆՔԻ ՏՐԱՄԱԴՐՄԱՆ ՀԱՄԱՐ ՆԵՐԿԱՅԱՑՎԱԾ ՀԱՅՏԻ ԵՎ ԻՐԱՎՈՒՆՔԻ ՏՐՄԱՆ ՎԵՐԱԲԵՐՅԱԼ ՏԵՂԵԿԱՏՎՈՒԹՅԱՆ, ԱՌԱՋԱՐԿՎԱԾ ԵՎ ՀԱՎԱՆՈՒԹՅԱՆ ԱՐԺԱՆԱՑԱԾ ՍՈՐՏԻ ԱՆՎԱՆՈՒՄՆԵՐԻ ՀՐԱՊԱՐԱԿՄԱՆ 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ԳԼՈՒԽ 1</w:t>
      </w:r>
    </w:p>
    <w:p>
      <w:pPr>
        <w:jc w:val="center"/>
        <w:spacing w:before="0" w:after="0"/>
      </w:pPr>
      <w:r>
        <w:rPr>
          <w:lang w:val="hy-HY"/>
          <w:b w:val="1"/>
          <w:bCs w:val="1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ԸՆԴՀԱՆՈՒՐ ԴՐՈՒՅԹՆԵՐ</w:t>
      </w:r>
    </w:p>
    <w:p>
      <w:pPr>
        <w:spacing w:before="0" w:after="0"/>
      </w:pPr>
      <w:r>
        <w:rPr>
          <w:rFonts w:ascii="'Calibri'" w:hAnsi="'Calibri'" w:eastAsia="'Calibri'" w:cs="'Calibri'"/>
          <w:lang w:val="hy-HY"/>
          <w:color w:val="black"/>
          <w:sz w:val="21"/>
          <w:szCs w:val="21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 Սույն կարգով կարգավորվում են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ուծողի իրավունքի տրամադրման համար ներկայացված հայտի և իրավունքի տրման վերաբերյալ տեղեկատվության, առաջարկված և հավանության արժանացած սորտի անվանումների հրապարակման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հետ կապված հարաբերությունները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ուծողի իրավունքի տրամադրման համար ներկայացված հայտի և իրավունքի տրման վերաբերյալ տեղեկատվության, առաջարկված և հավանության արժանացած սորտի անվանումների հրապարակումն իրականացնում է Հայաստանի Հանրապետության էկոնոմիկայի նախարարության (այսուհետ` լիազոր մարմին)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«Գյուղատնտեսական հետազոտությունների և հավաստագրման կենտրոն» պետական ոչ առևտրային կազմակերպությունը (այսուհետ՝ Կազմակերպություն)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                       </w:t>
      </w:r>
    </w:p>
    <w:p>
      <w:pPr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ԳԼՈՒԽ 2</w:t>
      </w:r>
      <w:r>
        <w:rPr>
          <w:rFonts w:ascii="'MS Mincho'" w:hAnsi="'MS Mincho'" w:eastAsia="'MS Mincho'" w:cs="'MS Mincho'"/>
          <w:lang w:val="hy-HY"/>
          <w:color w:val="black"/>
        </w:rPr>
        <w:t xml:space="preserve"> </w:t>
      </w:r>
    </w:p>
    <w:p>
      <w:pPr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ԲՈՒԾՈՂԻ ԻՐԱՎՈՒՆՔԻ ՏՐԱՄԱԴՐՄԱՆ ՀԱՄԱՐ ՆԵՐԿԱՅԱՑՎԱԾ ՀԱՅՏԻ ԵՎ ԻՐԱՎՈՒՆՔԻ ՏՐՄԱՆ ՎԵՐԱԲԵՐՅԱԼ ՏԵՂԵԿԱՏՎՈՒԹՅԱՆ, ԱՌԱՋԱՐԿՎԱԾ ԵՎ ՀԱՎԱՆՈՒԹՅԱՆ ԱՐԺԱՆԱՑԱԾ ՍՈՐՏԻ ԱՆՎԱՆՈՒՄՆԵՐԻ ՀՐԱՊԱՐԱԿՈՒՄԸ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</w:t>
      </w:r>
      <w:r>
        <w:rPr>
          <w:rFonts w:ascii="'MS Mincho'" w:hAnsi="'MS Mincho'" w:eastAsia="'MS Mincho'" w:cs="'MS Mincho'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Նոր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սորտի պահպանության նպատակով բուծողի իրավունքի տրամադրման համար ներկայացված հայտը և իրավունքի տրման վերաբերյալ տեղեկատվությունը, առաջարկված և հավանության արժանացած սորտի անվանումների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հրապարակումները պարունակում են պարտադիր և լրացուցիչ տեղեկատվություններ։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</w:p>
    <w:p>
      <w:pPr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Բույսերի նոր սորտերի պահպանության միջազգային միության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(այսուհետ՝ ՈՒՊՈՎ)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Պրիզմա (PRISMA)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գործիքով ներկայացնելու դեպքում տրվում է միջազգային հղման համար, որոնք որպես լրացուցիչ տեղեկատվություն կարող են ներառվել հրապարակվող տեղեկատվության մեջ։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Առաջարկվող անվանումների վերաբերյալ տեղեկատվությունը կարող է հրապարակվել բուծողների իրավունքների նոր դիմումների վերաբերյալ տեղեկատվության հետ միասին: Հնարավոր է, որ դիմումի ներկայացման կամ հրապարակման պահին բուծողը չկարողանա անվանում առաջարկել: Նման դեպքերում բուծողը կարող է տրամադրել իր կողմից երաշխավորագիր, որի հիման վրա դիմումը կհրապարակվի: Երբ առաջարկվող անվանումը հասանելի դառնա, այն պետք է հրապարակվի անվանումներին վերաբերող բաժնում: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6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Բուծողի իրավունքի տրամադրման հայտերը պետք է հրապարակվեն բույսերի համապատասխան ցեղի և տեսակի բուսաբանական անվանմամբ՝ ըստ այբբենական կարգի։ 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7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Բուծողի իրավունքի տրամադրման համար հայտ ներկայացնելու դեպքում պարտադիր հրապարակման ենթակա են հայտի համարի, հայտատուի, հայտի լրացման ամսաթվի, սորտի առաջարկված անվանման, բուծողի կողմից լիազորված անձի վերաբերյալ տեղեկատվությունը։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Միջազգային գրանցմատյանում գրանցված լինելու դեպքում լրացուցիչ տեղեկատվություն է համարվում հղման համարը, առաջնայնությունը՝ պետության կամ կազմակերպության ծածկագիրը և ամսաթիվը, ներկայացուցիչը, լիազորված անձի տվյալները (եթե հայտատուն բուծողը չէ), սորտի նկարագիրն ու լուսանկարները։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8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Բուծողի իրավունք տրամադրելու և անվանումը գրանցելու դեպքում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պարտադիր հրապարակման ենթակա է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առաջարկված և հավանության արժանացած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սորտի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անվանումը և այն գրանցելու ամսաթիվը։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Միջազգային գրանցմատյանում գրանցված լինելու դեպքում լրացուցիչ տեղեկատվություն է համարվում հղման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համարը, հայտի ներկայացման ամսաթվի, բուծողի, նրա ներկայացուցչի (եթե հայտատուն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բուծողը չէ) մասին տեղեկատվությունը, սորտի նկարագիրն ու լուսանկարները։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9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Առաջարկված անվանման փոփոխության դեպքում հրապարակման ենթակա է հայտի համարը, նախկինում առաջարկված սորտի անվանումը, նոր առաջարկված սորտի անվանումը և հայտի ներկայացման ամսաթիվը։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Միջազգային գրանցամատյանում գրանցված լինելու դեպքում լրացուցիչ տեղեկատվություն է համարվում հղման համարը, լիազորված անձի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տվյալները (եթե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հայտատուն բուծողը չէ),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սորտի նկարագիրն ու լուսանկարները։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10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Բուծողի իրավունքի տրամադրման հայտի լրամշակման կամ այն մերժելու մասին հրապարակվող տեղեկատվությունը պարտադիր պետք է պարունակի հայտի համարի, հայտատուի, հայտը ներկայացնելու ամսաթվի, սորտի առաջարկված անվանման, բուծողի կողմից լիազորաված անձի վերաբերյալ, ինչպես նաև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հայտը մերժելու կամ լրամշակման ուղարկելու ամսաթվի մասին տեղեկությունները։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11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Բուծողի իրավունքը դադարելու մասին հրապարակվող տեղեկատվությունը պետք է պարունակի հայտի համարի, հայտատուի, հայտը ներկայացնելու ամսաթվի, սորտի առաջարկված անվանման, բուծողի կողմից լիազորված անձի և բուծողի իրավունքի դադարեցման ամսաթվի մասին տեղեկատվությունը։ Միջազգային գրանցմատյանում գրանցված լինելու դեպքում լրացուցիչ տեղեկատվություն է համարվում գրանցման համարը և բուծողի իրավունքի դադարեցման պատճառը։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12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Պահպանվող սորտի անվանման փոփոխության առաջարկի դեպքում պարտադիր հրապարակման ենթակա է բուծողի շնորհված իրավունքի համարը, իրավունք շնորհելու ամսաթիվը, բուծողի իրավունքը կրողի, սորտի անվանման, սորտի առաջարկված նոր անվանման, նոր առաջարկի ներկայացման ամսաթվի վերաբերյալ տեղեկատվությունները։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Միջազգային գրանցմատյանում գրանցված լինելու դեպքում լրացուցիչ տեղեկատվություն է համարվում հղման համարը, սորտի նկարագիրն ու լուսանկարները։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13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Պահպանվող սորտի նոր անվանման գրանցման դեպքում պարտադիր հրապարակման ենթակա է բուծողին շնորհված իրավունքի համարը,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շնորհման ամսաթիվը, բուծողի իրավունքը կրողի մասին տեղեկությունները,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սորտի նախկին անվանման և սորտի նոր անվանման գրանցման ամսաթվի վերաբերյալ տեղեկատվությունը։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Միջազգային գրանցմատյանում գրանցված լինելու դեպքում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լրացուցիչ տեղեկատվություն է համարվում հղման համարը, սորտի նկարագիրն ու լուսանկարները։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14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Հայտատուին կամ վերջինիս ներկայացուցիչներին վերաբերող փոփոխությունների դեպքում հրապարակվում են հայտի համարի, բուծողի ներկայացուցչի, առաջարկված անվանման, նախկին հայտատուի, նոր հայտատուի, նախկին լիազորված անձի, նոր լիազորված անձի, փոփոխության ամսաթվի վերաբերյալ տեղեկատվությունները։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Միջազգային գրանցմատյանում գրանցված լինելու դեպքում լրացուցիչ տեղեկատվություն է համարվում հղման համարը, հայտի ներկայացման ամսաթվի տեղեկությունները, սորտի նկարագիրն ու լուսանկարները։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15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Բուծողի իրավունքը կրողների կամ ներկայացուցիչների փոփոխության դեպքում պարտադիր հրապարակման ենթակա է բուծողի շնորհված իրավունքի համարը, այն շնորհելու ամսաթիվը, սորտի անվանումը, բուծողի իրավունքի նախկին կրողի, նախկին լիազորված անձի, նոր լիազորված անձի, փոփոխության ամսաթվի մասին տեղեկությունները։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Միջազգային գրանցամատյանում գրանցված լինելու դեպքում լրացուցիչ տեղեկատվություն է համարվում հղման համարը, սորտի նկարագիրն ու լուսանկարները։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16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Նոր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սորտի պահպանության նպատակով բուծողի իրավունքի տրամադրման համար ներկայացված հայտը և իրավունքի տրման վերաբերյալ տեղեկատվությունը, առաջարկված և հավանության արժանացած սորտի անվանումը, անվան փոփոխությունը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հրապարակվում է Կազմակերպության կողմից՝ ստանալու օրվանից մեկամսյա ժամկետում։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17</w:t>
      </w:r>
      <w:r>
        <w:rPr>
          <w:rFonts w:ascii="'MS Mincho'" w:hAnsi="'MS Mincho'" w:eastAsia="'MS Mincho'" w:cs="'MS Mincho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UPOV համակարգի կողմից սահմանված գաղտնի կամ սահմանափակ հասանելիություն ունեցող տեղեկությունները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հրապարակման ենթակա չեն։ Այն կարող է տրամադրվել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միայն սորտի տարբերակիչ հատկանիշը, միատարությունը և կայունությունը (DUS) փորձարկող մարմիններին։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2"/>
          <w:szCs w:val="22"/>
        </w:rPr>
        <w:t xml:space="preserve">18</w:t>
      </w:r>
      <w:r>
        <w:rPr>
          <w:rFonts w:ascii="'MS Mincho'" w:hAnsi="'MS Mincho'" w:eastAsia="'MS Mincho'" w:cs="'MS Mincho'"/>
          <w:lang w:val="hy-HY"/>
          <w:color w:val="black"/>
          <w:sz w:val="22"/>
          <w:szCs w:val="22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2"/>
          <w:szCs w:val="22"/>
        </w:rPr>
        <w:t xml:space="preserve">Բ</w:t>
      </w:r>
      <w:r>
        <w:rPr>
          <w:rFonts w:ascii="'GHEA Grapalat'" w:hAnsi="'GHEA Grapalat'" w:eastAsia="'GHEA Grapalat'" w:cs="'GHEA Grapalat'"/>
          <w:lang w:val="hy-HY"/>
          <w:sz w:val="22"/>
          <w:szCs w:val="22"/>
        </w:rPr>
        <w:t xml:space="preserve">ուծողի իրավունքի տրամադրման համար ներկայացված հայտի և իրավունքի տրման վերաբերյալ տեղեկատվության, առաջարկված և հավանության արժանացած սորտի անվանումների հրապարակման</w:t>
      </w:r>
      <w:r>
        <w:rPr>
          <w:rFonts w:ascii="'GHEA Grapalat'" w:hAnsi="'GHEA Grapalat'" w:eastAsia="'GHEA Grapalat'" w:cs="'GHEA Grapalat'"/>
          <w:lang w:val="hy-HY"/>
          <w:color w:val="black"/>
          <w:sz w:val="22"/>
          <w:szCs w:val="22"/>
        </w:rPr>
        <w:t xml:space="preserve"> հետ կապված բողոքները և դիմումները քննարկվում են լիազոր մարմնի կողմից՝ ստացման օրվանից երկամսյա ժ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2026-04-04T16:59:16+04:00</dcterms:created>
  <dcterms:modified xsi:type="dcterms:W3CDTF">2026-04-04T16:59:16+04:00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