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ՄԱՐՏԻ 26-Ի N 355-Լ ՈՐՈՇՄԱՆ ՄԵՋ ՓՈՓՈԽՈՒԹՅՈՒՆՆԵՐ ԵՎ ԼՐԱՑՈՒՄՆԵՐ ԿԱՏԱՐԵԼՈՒ ՄԱՍԻՆ» ՀԱՅԱՍՏԱՆԻ ՀԱՆՐԱՊԵՏՈՒԹՅԱՆ ԿԱՌԱՎԱՐՈՒԹՅԱՆ ՈՐՈՇՄԱՆ ՆԱԽԱԳԻԾ</w:t>
      </w:r>
      <w:bookmarkEnd w:id="0"/>
    </w:p>
    <w:p>
      <w:pPr>
        <w:jc w:val="end"/>
        <w:spacing w:after="0" w:line="360" w:lineRule="auto"/>
      </w:pPr>
      <w:r>
        <w:rPr>
          <w:rFonts w:ascii="'GHEA Grapalat'" w:hAnsi="'GHEA Grapalat'" w:eastAsia="'GHEA Grapalat'" w:cs="'GHEA Grapalat'"/>
          <w:sz w:val="24"/>
          <w:szCs w:val="24"/>
          <w:b w:val="1"/>
          <w:bCs w:val="1"/>
        </w:rPr>
        <w:t xml:space="preserve"> </w:t>
      </w:r>
    </w:p>
    <w:p>
      <w:pPr>
        <w:jc w:val="end"/>
        <w:spacing w:after="0" w:line="360" w:lineRule="auto"/>
      </w:pPr>
      <w:r>
        <w:rPr>
          <w:rFonts w:ascii="'GHEA Grapalat'" w:hAnsi="'GHEA Grapalat'" w:eastAsia="'GHEA Grapalat'" w:cs="'GHEA Grapalat'"/>
          <w:sz w:val="24"/>
          <w:szCs w:val="24"/>
          <w:b w:val="1"/>
          <w:bCs w:val="1"/>
        </w:rPr>
        <w:t xml:space="preserve">ՆԱԽԱԳԻԾ</w:t>
      </w:r>
    </w:p>
    <w:p>
      <w:pPr>
        <w:jc w:val="center"/>
        <w:spacing w:after="0" w:line="360" w:lineRule="auto"/>
      </w:pPr>
      <w:r>
        <w:rPr>
          <w:rFonts w:ascii="'GHEA Grapalat'" w:hAnsi="'GHEA Grapalat'" w:eastAsia="'GHEA Grapalat'" w:cs="'GHEA Grapalat'"/>
          <w:sz w:val="24"/>
          <w:szCs w:val="24"/>
          <w:b w:val="1"/>
          <w:bCs w:val="1"/>
        </w:rPr>
        <w:t xml:space="preserve"> </w:t>
      </w:r>
    </w:p>
    <w:p>
      <w:pPr>
        <w:jc w:val="center"/>
        <w:spacing w:line="360" w:lineRule="auto"/>
      </w:pPr>
      <w:r>
        <w:rPr>
          <w:rFonts w:ascii="'GHEA Grapalat'" w:hAnsi="'GHEA Grapalat'" w:eastAsia="'GHEA Grapalat'" w:cs="'GHEA Grapalat'"/>
          <w:sz w:val="24"/>
          <w:szCs w:val="24"/>
          <w:b w:val="1"/>
          <w:bCs w:val="1"/>
        </w:rPr>
        <w:t xml:space="preserve">ՀԱՅԱՍՏԱՆԻ ՀԱՆՐԱՊԵՏՈՒԹՅԱՆ ԿԱՌԱՎԱՐՈՒԹՅՈՒՆ</w:t>
      </w:r>
      <w:br/>
      <w:r>
        <w:rPr>
          <w:rFonts w:ascii="'GHEA Grapalat'" w:hAnsi="'GHEA Grapalat'" w:eastAsia="'GHEA Grapalat'" w:cs="'GHEA Grapalat'"/>
          <w:sz w:val="24"/>
          <w:szCs w:val="24"/>
          <w:b w:val="1"/>
          <w:bCs w:val="1"/>
        </w:rPr>
        <w:t xml:space="preserve">Ո Ր Ո Շ ՈՒ Մ</w:t>
      </w:r>
      <w:br/>
      <w:r>
        <w:rPr>
          <w:rFonts w:ascii="'GHEA Grapalat'" w:hAnsi="'GHEA Grapalat'" w:eastAsia="'GHEA Grapalat'" w:cs="'GHEA Grapalat'"/>
          <w:sz w:val="24"/>
          <w:szCs w:val="24"/>
        </w:rPr>
        <w:t xml:space="preserve">—— ————</w:t>
      </w:r>
      <w:br/>
      <w:r>
        <w:rPr>
          <w:rFonts w:ascii="'GHEA Grapalat'" w:hAnsi="'GHEA Grapalat'" w:eastAsia="'GHEA Grapalat'" w:cs="'GHEA Grapalat'"/>
          <w:sz w:val="24"/>
          <w:szCs w:val="24"/>
          <w:b w:val="1"/>
          <w:bCs w:val="1"/>
        </w:rPr>
        <w:t xml:space="preserve">2025 թվականի … N …Լ</w:t>
      </w:r>
    </w:p>
    <w:p>
      <w:pPr>
        <w:jc w:val="center"/>
        <w:spacing w:after="0" w:line="360" w:lineRule="auto"/>
      </w:pPr>
      <w:r>
        <w:rPr>
          <w:rFonts w:ascii="'GHEA Grapalat'" w:hAnsi="'GHEA Grapalat'" w:eastAsia="'GHEA Grapalat'" w:cs="'GHEA Grapalat'"/>
          <w:sz w:val="24"/>
          <w:szCs w:val="24"/>
          <w:b w:val="1"/>
          <w:bCs w:val="1"/>
        </w:rPr>
        <w:t xml:space="preserve">ՀԱՅԱՍՏԱՆԻ ՀԱՆՐԱՊԵՏՈՒԹՅԱՆ ԿԱՌԱՎԱՐՈՒԹՅԱՆ 2020 ԹՎԱԿԱՆԻ ՄԱՐՏԻ 26-Ի N355-Լ ՈՐՈՇՄԱՆ ՄԵՋ ՓՈՓՈԽՈՒԹՅՈՒՆՆԵՐ ԵՎ ԼՐԱՑՈՒՄՆԵՐ ԿԱՏԱՐԵԼՈՒ ՄԱՍԻՆ</w:t>
      </w:r>
    </w:p>
    <w:p>
      <w:pPr>
        <w:jc w:val="both"/>
        <w:spacing w:after="0" w:line="360" w:lineRule="auto"/>
      </w:pPr>
      <w:r>
        <w:rPr>
          <w:rFonts w:ascii="'GHEA Grapalat'" w:hAnsi="'GHEA Grapalat'" w:eastAsia="'GHEA Grapalat'" w:cs="'GHEA Grapalat'"/>
          <w:sz w:val="24"/>
          <w:szCs w:val="24"/>
        </w:rPr>
        <w:t xml:space="preserve"> </w:t>
      </w:r>
    </w:p>
    <w:p>
      <w:pPr>
        <w:jc w:val="both"/>
        <w:spacing w:after="0" w:line="360" w:lineRule="auto"/>
      </w:pPr>
      <w:r>
        <w:rPr>
          <w:rFonts w:ascii="'GHEA Grapalat'" w:hAnsi="'GHEA Grapalat'" w:eastAsia="'GHEA Grapalat'" w:cs="'GHEA Grapalat'"/>
          <w:sz w:val="24"/>
          <w:szCs w:val="24"/>
        </w:rPr>
        <w:t xml:space="preserve">Հիմք ընդունելով Հայաստանի Հանրապետության «Նորմատիվ իրավական ակտերի մասին» օրենքի 33-րդ և 34-րդ հոդվածները՝ Հայաստանի Հանրապետության կառավարությունը որոշում է.</w:t>
      </w:r>
    </w:p>
    <w:p>
      <w:pPr>
        <w:jc w:val="both"/>
        <w:spacing w:before="0" w:after="0" w:line="360" w:lineRule="auto"/>
      </w:pPr>
      <w:r>
        <w:rPr>
          <w:rFonts w:ascii="'GHEA Grapalat'" w:hAnsi="'GHEA Grapalat'" w:eastAsia="'GHEA Grapalat'" w:cs="'GHEA Grapalat'"/>
          <w:sz w:val="24"/>
          <w:szCs w:val="24"/>
        </w:rPr>
        <w:t xml:space="preserve">1. Հայաստանի Հանրապետության կառավարության 2020 թվականի մարտի 26-ի «Տնտեսության արդիականացման նպատակային ծրագրերը հաստատելու մասին» N355-Լ որոշման (այսուհետ՝ Որոշում) N1 հավելվածում կատարել հետևյալ փոփոխությունները և լրացումները</w:t>
      </w:r>
      <w:r>
        <w:rPr>
          <w:rFonts w:ascii="'Cambria Math'" w:hAnsi="'Cambria Math'" w:eastAsia="'Cambria Math'" w:cs="'Cambria Math'"/>
          <w:sz w:val="24"/>
          <w:szCs w:val="24"/>
        </w:rPr>
        <w:t xml:space="preserve">՝</w:t>
      </w:r>
    </w:p>
    <w:p>
      <w:pPr>
        <w:spacing w:after="0" w:line="360" w:lineRule="auto"/>
      </w:pPr>
      <w:r>
        <w:rPr>
          <w:rFonts w:ascii="'GHEA Grapalat'" w:hAnsi="'GHEA Grapalat'" w:eastAsia="'GHEA Grapalat'" w:cs="'GHEA Grapalat'"/>
          <w:sz w:val="24"/>
          <w:szCs w:val="24"/>
        </w:rPr>
        <w:t xml:space="preserve">1) 4-</w:t>
      </w:r>
      <w:r>
        <w:rPr>
          <w:rFonts w:ascii="'GHEA Grapalat'" w:hAnsi="'GHEA Grapalat'" w:eastAsia="'GHEA Grapalat'" w:cs="'GHEA Grapalat'"/>
          <w:lang w:val="hy-HY"/>
          <w:sz w:val="24"/>
          <w:szCs w:val="24"/>
        </w:rPr>
        <w:t xml:space="preserve">րդ </w:t>
      </w:r>
      <w:r>
        <w:rPr>
          <w:rFonts w:ascii="'GHEA Grapalat'" w:hAnsi="'GHEA Grapalat'" w:eastAsia="'GHEA Grapalat'" w:cs="'GHEA Grapalat'"/>
          <w:sz w:val="24"/>
          <w:szCs w:val="24"/>
        </w:rPr>
        <w:t xml:space="preserve">կետից հետո լրացնել հետևյալ բովանդակությամբ նոր 4.1-ին կետով</w:t>
      </w:r>
      <w:r>
        <w:rPr>
          <w:rFonts w:ascii="'Cambria Math'" w:hAnsi="'Cambria Math'" w:eastAsia="'Cambria Math'" w:cs="'Cambria Math'"/>
          <w:sz w:val="24"/>
          <w:szCs w:val="24"/>
        </w:rPr>
        <w:t xml:space="preserve">․</w:t>
      </w:r>
    </w:p>
    <w:p>
      <w:pPr>
        <w:jc w:val="both"/>
        <w:spacing w:after="0" w:line="360" w:lineRule="auto"/>
      </w:pPr>
      <w:r>
        <w:rPr>
          <w:rFonts w:ascii="'GHEA Grapalat'" w:hAnsi="'GHEA Grapalat'" w:eastAsia="'GHEA Grapalat'" w:cs="'GHEA Grapalat'"/>
          <w:sz w:val="24"/>
          <w:szCs w:val="24"/>
        </w:rPr>
        <w:t xml:space="preserve">«4</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1. Տնտեսավարողն իրավունք ունի սույն ծրագրի շրջանակներում ստացված վարկերը տեղափոխել սույն Ծրագրի 3-րդ կետում նշված ֆինանսական այլ կազմակերպություն, որի դեպքում սուբսիդավորումը շարունակվում է իրականացվել սույն որոշմամբ սահմանված ընդհանուր կարգով՝ հաշվի առնելով սուբսիդավորման մնացորդային ժամկետը։»</w:t>
      </w:r>
      <w:r>
        <w:rPr>
          <w:rFonts w:ascii="'Cambria Math'" w:hAnsi="'Cambria Math'" w:eastAsia="'Cambria Math'" w:cs="'Cambria Math'"/>
          <w:sz w:val="24"/>
          <w:szCs w:val="24"/>
        </w:rPr>
        <w:t xml:space="preserve">․</w:t>
      </w:r>
    </w:p>
    <w:p>
      <w:pPr>
        <w:spacing w:after="0" w:line="360" w:lineRule="auto"/>
      </w:pPr>
      <w:r>
        <w:rPr>
          <w:rFonts w:ascii="'GHEA Grapalat'" w:hAnsi="'GHEA Grapalat'" w:eastAsia="'GHEA Grapalat'" w:cs="'GHEA Grapalat'"/>
          <w:sz w:val="24"/>
          <w:szCs w:val="24"/>
        </w:rPr>
        <w:t xml:space="preserve">2) 5-րդ կետի 1-ին ենթակետը շարադրել հետևյալ խմբագրությամբ</w:t>
      </w:r>
      <w:r>
        <w:rPr>
          <w:rFonts w:ascii="'Cambria Math'" w:hAnsi="'Cambria Math'" w:eastAsia="'Cambria Math'" w:cs="'Cambria Math'"/>
          <w:sz w:val="24"/>
          <w:szCs w:val="24"/>
        </w:rPr>
        <w:t xml:space="preserve">․</w:t>
      </w:r>
    </w:p>
    <w:p>
      <w:pPr>
        <w:jc w:val="both"/>
        <w:spacing w:after="0" w:line="360" w:lineRule="auto"/>
      </w:pPr>
      <w:r>
        <w:rPr>
          <w:rFonts w:ascii="'GHEA Grapalat'" w:hAnsi="'GHEA Grapalat'" w:eastAsia="'GHEA Grapalat'" w:cs="'GHEA Grapalat'"/>
          <w:sz w:val="24"/>
          <w:szCs w:val="24"/>
        </w:rPr>
        <w:t xml:space="preserve">«1) Սույն ենթակետով սահմանված մասով բացառություն են կազմում Տնտեսական գործունեության տեսակների դասակարգչի H «Փոխադրում և պահեստային տնտեսություն» բաժնի 51 դասի 51.1–51.2 խմբերին և դրանց ենթախմբերին համապատասխան գործունեության տեսակները։</w:t>
      </w:r>
    </w:p>
    <w:p>
      <w:pPr>
        <w:jc w:val="both"/>
        <w:spacing w:after="0" w:line="360" w:lineRule="auto"/>
      </w:pPr>
      <w:r>
        <w:rPr>
          <w:rFonts w:ascii="'GHEA Grapalat'" w:hAnsi="'GHEA Grapalat'" w:eastAsia="'GHEA Grapalat'" w:cs="'GHEA Grapalat'"/>
          <w:sz w:val="24"/>
          <w:szCs w:val="24"/>
        </w:rPr>
        <w:t xml:space="preserve"> </w:t>
      </w:r>
    </w:p>
    <w:p>
      <w:pPr>
        <w:jc w:val="both"/>
        <w:spacing w:after="0" w:line="360" w:lineRule="auto"/>
      </w:pPr>
      <w:r>
        <w:rPr>
          <w:rFonts w:ascii="'GHEA Grapalat'" w:hAnsi="'GHEA Grapalat'" w:eastAsia="'GHEA Grapalat'" w:cs="'GHEA Grapalat'"/>
          <w:sz w:val="24"/>
          <w:szCs w:val="24"/>
        </w:rPr>
        <w:t xml:space="preserve">1.1) Սահմանված բացառության շրջանակներում «նոր (չօգտագործված) օդային տրանսպորտային միջոց» է համարվում օդային տրանսպորտի այն միջոցը, որը</w:t>
      </w:r>
      <w:r>
        <w:rPr>
          <w:rFonts w:ascii="'Cambria Math'" w:hAnsi="'Cambria Math'" w:eastAsia="'Cambria Math'" w:cs="'Cambria Math'"/>
          <w:sz w:val="24"/>
          <w:szCs w:val="24"/>
        </w:rPr>
        <w:t xml:space="preserve">՝</w:t>
      </w:r>
    </w:p>
    <w:p>
      <w:pPr>
        <w:jc w:val="both"/>
        <w:spacing w:after="0" w:line="360" w:lineRule="auto"/>
      </w:pPr>
      <w:r>
        <w:rPr>
          <w:rFonts w:ascii="'GHEA Grapalat'" w:hAnsi="'GHEA Grapalat'" w:eastAsia="'GHEA Grapalat'" w:cs="'GHEA Grapalat'"/>
          <w:lang w:val="hy-HY"/>
          <w:sz w:val="24"/>
          <w:szCs w:val="24"/>
        </w:rPr>
        <w:t xml:space="preserve">ա) արտադրվել է վերջին հինգ (5) տարիների ընթացքում և ունի գործող թռիչքի պիտանիության վկայական (certificate of airworthiness),</w:t>
      </w:r>
    </w:p>
    <w:p>
      <w:pPr>
        <w:jc w:val="both"/>
        <w:spacing w:after="0" w:line="360" w:lineRule="auto"/>
      </w:pPr>
      <w:r>
        <w:rPr>
          <w:rFonts w:ascii="'GHEA Grapalat'" w:hAnsi="'GHEA Grapalat'" w:eastAsia="'GHEA Grapalat'" w:cs="'GHEA Grapalat'"/>
          <w:lang w:val="hy-HY"/>
          <w:sz w:val="24"/>
          <w:szCs w:val="24"/>
        </w:rPr>
        <w:t xml:space="preserve">բ) գտնվում է թռիչքի պիտանիության գործող վկայականով հաստատված տեխնիկական և շահագործային պիտանիության վիճակում՝ առանց թռիչքների ժամանակավոր արգելանքի կամ անվտանգության հետ կապված սահմանափակումների,</w:t>
      </w:r>
    </w:p>
    <w:p>
      <w:pPr>
        <w:jc w:val="both"/>
        <w:spacing w:after="0" w:line="360" w:lineRule="auto"/>
      </w:pPr>
      <w:r>
        <w:rPr>
          <w:rFonts w:ascii="'GHEA Grapalat'" w:hAnsi="'GHEA Grapalat'" w:eastAsia="'GHEA Grapalat'" w:cs="'GHEA Grapalat'"/>
          <w:lang w:val="hy-HY"/>
          <w:sz w:val="24"/>
          <w:szCs w:val="24"/>
        </w:rPr>
        <w:t xml:space="preserve">գ) անցել է արտադրողի կամ միջազգային սերտիֆիկացված կազմակերպության կողմից իրականացված թռիչքային պիտանիության ստուգում (airworthiness review) և երաշխավորված է անվտանգության միջազգային չափանիշներին համապատասխանությամբ։»</w:t>
      </w:r>
      <w:r>
        <w:rPr>
          <w:rFonts w:ascii="'Cambria Math'" w:hAnsi="'Cambria Math'" w:eastAsia="'Cambria Math'" w:cs="'Cambria Math'"/>
          <w:lang w:val="hy-HY"/>
          <w:sz w:val="24"/>
          <w:szCs w:val="24"/>
        </w:rPr>
        <w:t xml:space="preserve">․</w:t>
      </w:r>
    </w:p>
    <w:p>
      <w:pPr>
        <w:jc w:val="both"/>
        <w:spacing w:after="0" w:line="360" w:lineRule="auto"/>
      </w:pPr>
      <w:r>
        <w:rPr>
          <w:rFonts w:ascii="'GHEA Grapalat'" w:hAnsi="'GHEA Grapalat'" w:eastAsia="'GHEA Grapalat'" w:cs="'GHEA Grapalat'"/>
          <w:lang w:val="hy-HY"/>
          <w:sz w:val="24"/>
          <w:szCs w:val="24"/>
        </w:rPr>
        <w:t xml:space="preserve">3) 7-րդ կետից հետո լրացնել հետևյալ բովանդակությամբ նոր 7.1-ին կետով.</w:t>
      </w:r>
    </w:p>
    <w:p>
      <w:pPr>
        <w:jc w:val="both"/>
        <w:spacing w:after="0" w:line="360" w:lineRule="auto"/>
      </w:pPr>
      <w:r>
        <w:rPr>
          <w:rFonts w:ascii="'GHEA Grapalat'" w:hAnsi="'GHEA Grapalat'" w:eastAsia="'GHEA Grapalat'" w:cs="'GHEA Grapalat'"/>
          <w:lang w:val="hy-HY"/>
          <w:sz w:val="24"/>
          <w:szCs w:val="24"/>
        </w:rPr>
        <w:t xml:space="preserve">«7</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1. </w:t>
      </w:r>
      <w:r>
        <w:rPr>
          <w:rFonts w:ascii="'GHEA Grapalat'" w:hAnsi="'GHEA Grapalat'" w:eastAsia="'GHEA Grapalat'" w:cs="'GHEA Grapalat'"/>
          <w:lang w:val="hy-HY"/>
          <w:sz w:val="24"/>
          <w:szCs w:val="24"/>
        </w:rPr>
        <w:t xml:space="preserve">Սույն նպատակային ծրագրի շրջանակներում սուբսիդավորում ստանալու նպատակով ֆինանսական կազմակերպությունները յուրաքանչյուր ամսվա ավարտից հետո, մինչև հաջորդ ամսվա 10 աշխատանքային օրը, իսկ ոչ աշխատանքային օրվա դեպքում՝ հաջորդ աշխատանքային օրը, Հայաստանի Հանրապետության էկոնոմիկայի նախարարություն են ներկայացնում սուբսիդավորման հայտը՝ ծրագրի շրջանակներում ֆինանսական կազմակերպությունների հետ կնքված պայմանագրերին կից հավելվածով հաստատված ձևաչափով։ Յուրաքանչյուր հաջորդ ամիս ներկայացվող հայտում ներառվում են բացառապես նախորդ ամսվա համար հաշվարկված սուբսիդավորման ենթակա տոկոսադրույքի գումարները։</w:t>
      </w:r>
      <w:r>
        <w:rPr>
          <w:rFonts w:ascii="'GHEA Grapalat'" w:hAnsi="'GHEA Grapalat'" w:eastAsia="'GHEA Grapalat'" w:cs="'GHEA Grapalat'"/>
          <w:lang w:val="hy-HY"/>
          <w:sz w:val="24"/>
          <w:szCs w:val="24"/>
        </w:rPr>
        <w:t xml:space="preserve">»</w:t>
      </w:r>
      <w:r>
        <w:rPr>
          <w:rFonts w:ascii="'Cambria Math'" w:hAnsi="'Cambria Math'" w:eastAsia="'Cambria Math'" w:cs="'Cambria Math'"/>
          <w:lang w:val="hy-HY"/>
          <w:sz w:val="24"/>
          <w:szCs w:val="24"/>
        </w:rPr>
        <w:t xml:space="preserve">․</w:t>
      </w:r>
    </w:p>
    <w:p>
      <w:pPr>
        <w:spacing w:after="0" w:line="360" w:lineRule="auto"/>
      </w:pPr>
      <w:r>
        <w:rPr>
          <w:rFonts w:ascii="'GHEA Grapalat'" w:hAnsi="'GHEA Grapalat'" w:eastAsia="'GHEA Grapalat'" w:cs="'GHEA Grapalat'"/>
          <w:lang w:val="hy-HY"/>
          <w:sz w:val="24"/>
          <w:szCs w:val="24"/>
        </w:rPr>
        <w:t xml:space="preserve">4) 9-րդ և 10-րդ կետերը շարադրել հետևյալ խմբագրությամբ</w:t>
      </w:r>
      <w:r>
        <w:rPr>
          <w:rFonts w:ascii="'Cambria Math'" w:hAnsi="'Cambria Math'" w:eastAsia="'Cambria Math'" w:cs="'Cambria Math'"/>
          <w:lang w:val="hy-HY"/>
          <w:sz w:val="24"/>
          <w:szCs w:val="24"/>
        </w:rPr>
        <w:t xml:space="preserve">․</w:t>
      </w:r>
    </w:p>
    <w:p>
      <w:pPr>
        <w:jc w:val="both"/>
        <w:spacing w:after="0" w:line="360" w:lineRule="auto"/>
      </w:pPr>
      <w:r>
        <w:rPr>
          <w:rFonts w:ascii="'GHEA Grapalat'" w:hAnsi="'GHEA Grapalat'" w:eastAsia="'GHEA Grapalat'" w:cs="'GHEA Grapalat'"/>
          <w:lang w:val="hy-HY"/>
          <w:sz w:val="24"/>
          <w:szCs w:val="24"/>
        </w:rPr>
        <w:t xml:space="preserve">9. Հայաստանի Հանրապետության դրամով վարկի/լիզինգի սուբսիդավորման չափերը, կախված նպատակից, հետևյալն են՝</w:t>
      </w:r>
    </w:p>
    <w:p>
      <w:pPr>
        <w:jc w:val="center"/>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Աղյուսակ 1</w:t>
      </w:r>
    </w:p>
    <w:tbl>
      <w:tblGrid>
        <w:gridCol w:w="100" w:type="dxa"/>
        <w:gridCol w:w="1500" w:type="dxa"/>
      </w:tblGrid>
      <w:tblPr>
        <w:tblW w:w="9990" w:type="dxa"/>
        <w:tblCellSpacing w:w="0" w:type="dxa"/>
        <w:tblLayout w:type="autofit"/>
        <w:tblBorders>
          <w:top w:val="single" w:sz="0"/>
          <w:left w:val="single" w:sz="0"/>
          <w:right w:val="single" w:sz="0"/>
          <w:bottom w:val="single" w:sz="0"/>
          <w:insideH w:val="single" w:sz="0"/>
          <w:insideV w:val="single" w:sz="0"/>
        </w:tblBorders>
      </w:tblPr>
      <w:tr>
        <w:trPr/>
        <w:tc>
          <w:tcPr>
            <w:tcW w:w="100" w:type="dxa"/>
            <w:vAlign w:val="top"/>
            <w:noWrap/>
          </w:tcPr>
          <w:p>
            <w:pPr>
              <w:jc w:val="center"/>
              <w:ind w:left="0" w:right="0" w:firstLine="2610"/>
              <w:spacing w:before="0" w:after="0" w:line="240" w:lineRule="auto"/>
            </w:pPr>
            <w:r>
              <w:rPr>
                <w:rFonts w:ascii="'GHEA Grapalat'" w:hAnsi="'GHEA Grapalat'" w:eastAsia="'GHEA Grapalat'" w:cs="'GHEA Grapalat'"/>
                <w:sz w:val="24"/>
                <w:szCs w:val="24"/>
              </w:rPr>
              <w:t xml:space="preserve">Նպատակը</w:t>
            </w:r>
          </w:p>
        </w:tc>
        <w:tc>
          <w:tcPr>
            <w:tcW w:w="1500" w:type="dxa"/>
            <w:vAlign w:val="top"/>
            <w:noWrap/>
          </w:tcPr>
          <w:p>
            <w:pPr>
              <w:jc w:val="center"/>
              <w:spacing w:after="0" w:line="240" w:lineRule="auto"/>
            </w:pPr>
            <w:r>
              <w:rPr>
                <w:rFonts w:ascii="'GHEA Grapalat'" w:hAnsi="'GHEA Grapalat'" w:eastAsia="'GHEA Grapalat'" w:cs="'GHEA Grapalat'"/>
                <w:sz w:val="24"/>
                <w:szCs w:val="24"/>
              </w:rPr>
              <w:t xml:space="preserve">Սուբսիդավորման չափը</w:t>
            </w:r>
          </w:p>
        </w:tc>
      </w:tr>
      <w:tr>
        <w:trPr/>
        <w:tc>
          <w:tcPr>
            <w:tcW w:w="100" w:type="dxa"/>
            <w:vAlign w:val="top"/>
            <w:noWrap/>
          </w:tcPr>
          <w:p>
            <w:pPr>
              <w:jc w:val="center"/>
              <w:spacing w:after="0" w:line="240" w:lineRule="auto"/>
            </w:pPr>
            <w:r>
              <w:rPr>
                <w:rFonts w:ascii="'GHEA Grapalat'" w:hAnsi="'GHEA Grapalat'" w:eastAsia="'GHEA Grapalat'" w:cs="'GHEA Grapalat'"/>
                <w:sz w:val="24"/>
                <w:szCs w:val="24"/>
              </w:rPr>
              <w:t xml:space="preserve"> </w:t>
            </w:r>
          </w:p>
        </w:tc>
        <w:tc>
          <w:tcPr>
            <w:tcW w:w="1500" w:type="dxa"/>
            <w:vAlign w:val="top"/>
            <w:noWrap/>
          </w:tcPr>
          <w:p>
            <w:pPr>
              <w:jc w:val="center"/>
              <w:spacing w:after="0" w:line="240" w:lineRule="auto"/>
            </w:pPr>
            <w:r>
              <w:rPr>
                <w:rFonts w:ascii="'GHEA Grapalat'" w:hAnsi="'GHEA Grapalat'" w:eastAsia="'GHEA Grapalat'" w:cs="'GHEA Grapalat'"/>
                <w:sz w:val="24"/>
                <w:szCs w:val="24"/>
              </w:rPr>
              <w:t xml:space="preserve"> </w:t>
            </w:r>
          </w:p>
        </w:tc>
      </w:tr>
      <w:tr>
        <w:trPr/>
        <w:tc>
          <w:tcPr>
            <w:tcW w:w="100" w:type="dxa"/>
            <w:vAlign w:val="top"/>
            <w:noWrap/>
          </w:tcPr>
          <w:p>
            <w:pPr>
              <w:jc w:val="both"/>
              <w:spacing w:after="0" w:line="360" w:lineRule="auto"/>
            </w:pPr>
            <w:r>
              <w:rPr>
                <w:rFonts w:ascii="'GHEA Grapalat'" w:hAnsi="'GHEA Grapalat'" w:eastAsia="'GHEA Grapalat'" w:cs="'GHEA Grapalat'"/>
                <w:sz w:val="24"/>
                <w:szCs w:val="24"/>
              </w:rPr>
              <w:t xml:space="preserve">Մեքենասարքավորումներ և դրանց բաղկացուցիչ մասերի վարկ</w:t>
            </w:r>
          </w:p>
        </w:tc>
        <w:tc>
          <w:tcPr>
            <w:tcW w:w="1500" w:type="dxa"/>
            <w:vAlign w:val="top"/>
            <w:noWrap/>
          </w:tcPr>
          <w:p>
            <w:pPr>
              <w:jc w:val="center"/>
              <w:spacing w:after="0" w:line="360" w:lineRule="auto"/>
            </w:pPr>
            <w:r>
              <w:rPr>
                <w:rFonts w:ascii="'GHEA Grapalat'" w:hAnsi="'GHEA Grapalat'" w:eastAsia="'GHEA Grapalat'" w:cs="'GHEA Grapalat'"/>
                <w:sz w:val="24"/>
                <w:szCs w:val="24"/>
              </w:rPr>
              <w:t xml:space="preserve">6%</w:t>
            </w:r>
          </w:p>
        </w:tc>
      </w:tr>
      <w:tr>
        <w:trPr/>
        <w:tc>
          <w:tcPr>
            <w:tcW w:w="100" w:type="dxa"/>
            <w:vAlign w:val="top"/>
            <w:noWrap/>
          </w:tcPr>
          <w:p>
            <w:pPr>
              <w:jc w:val="both"/>
              <w:spacing w:after="0" w:line="360" w:lineRule="auto"/>
            </w:pPr>
            <w:r>
              <w:rPr>
                <w:rFonts w:ascii="'GHEA Grapalat'" w:hAnsi="'GHEA Grapalat'" w:eastAsia="'GHEA Grapalat'" w:cs="'GHEA Grapalat'"/>
                <w:sz w:val="24"/>
                <w:szCs w:val="24"/>
              </w:rPr>
              <w:t xml:space="preserve">Մեքենասարքավորումներ և դրանց բաղկացուցիչ մասերի լիզինգ</w:t>
            </w:r>
          </w:p>
        </w:tc>
        <w:tc>
          <w:tcPr>
            <w:tcW w:w="1500" w:type="dxa"/>
            <w:vAlign w:val="top"/>
            <w:noWrap/>
          </w:tcPr>
          <w:p>
            <w:pPr>
              <w:jc w:val="center"/>
              <w:spacing w:after="0" w:line="360" w:lineRule="auto"/>
            </w:pPr>
            <w:r>
              <w:rPr>
                <w:rFonts w:ascii="'GHEA Grapalat'" w:hAnsi="'GHEA Grapalat'" w:eastAsia="'GHEA Grapalat'" w:cs="'GHEA Grapalat'"/>
                <w:sz w:val="24"/>
                <w:szCs w:val="24"/>
              </w:rPr>
              <w:t xml:space="preserve">8%</w:t>
            </w:r>
          </w:p>
        </w:tc>
      </w:tr>
      <w:tr>
        <w:trPr/>
        <w:tc>
          <w:tcPr>
            <w:tcW w:w="100" w:type="dxa"/>
            <w:vAlign w:val="top"/>
            <w:noWrap/>
          </w:tcPr>
          <w:p>
            <w:pPr>
              <w:jc w:val="both"/>
              <w:spacing w:after="0" w:line="360" w:lineRule="auto"/>
            </w:pPr>
            <w:r>
              <w:rPr>
                <w:rFonts w:ascii="'GHEA Grapalat'" w:hAnsi="'GHEA Grapalat'" w:eastAsia="'GHEA Grapalat'" w:cs="'GHEA Grapalat'"/>
                <w:sz w:val="24"/>
                <w:szCs w:val="24"/>
              </w:rPr>
              <w:t xml:space="preserve">Կապիտալ շինարարության վարկ</w:t>
            </w:r>
          </w:p>
        </w:tc>
        <w:tc>
          <w:tcPr>
            <w:tcW w:w="1500" w:type="dxa"/>
            <w:vAlign w:val="top"/>
            <w:noWrap/>
          </w:tcPr>
          <w:p>
            <w:pPr>
              <w:jc w:val="center"/>
              <w:spacing w:after="0" w:line="360" w:lineRule="auto"/>
            </w:pPr>
            <w:r>
              <w:rPr>
                <w:rFonts w:ascii="'GHEA Grapalat'" w:hAnsi="'GHEA Grapalat'" w:eastAsia="'GHEA Grapalat'" w:cs="'GHEA Grapalat'"/>
                <w:sz w:val="24"/>
                <w:szCs w:val="24"/>
              </w:rPr>
              <w:t xml:space="preserve">6%</w:t>
            </w:r>
          </w:p>
        </w:tc>
      </w:tr>
      <w:tr>
        <w:trPr/>
        <w:tc>
          <w:tcPr>
            <w:tcW w:w="100" w:type="dxa"/>
            <w:vAlign w:val="top"/>
            <w:noWrap/>
          </w:tcPr>
          <w:p>
            <w:pPr>
              <w:jc w:val="both"/>
              <w:spacing w:after="0" w:line="360" w:lineRule="auto"/>
            </w:pPr>
            <w:r>
              <w:rPr>
                <w:rFonts w:ascii="'GHEA Grapalat'" w:hAnsi="'GHEA Grapalat'" w:eastAsia="'GHEA Grapalat'" w:cs="'GHEA Grapalat'"/>
                <w:sz w:val="24"/>
                <w:szCs w:val="24"/>
              </w:rPr>
              <w:t xml:space="preserve">Կապիտալ շինարարության լիզինգ</w:t>
            </w:r>
          </w:p>
        </w:tc>
        <w:tc>
          <w:tcPr>
            <w:tcW w:w="1500" w:type="dxa"/>
            <w:vAlign w:val="top"/>
            <w:noWrap/>
          </w:tcPr>
          <w:p>
            <w:pPr>
              <w:jc w:val="center"/>
              <w:spacing w:after="0" w:line="360" w:lineRule="auto"/>
            </w:pPr>
            <w:r>
              <w:rPr>
                <w:rFonts w:ascii="'GHEA Grapalat'" w:hAnsi="'GHEA Grapalat'" w:eastAsia="'GHEA Grapalat'" w:cs="'GHEA Grapalat'"/>
                <w:sz w:val="24"/>
                <w:szCs w:val="24"/>
              </w:rPr>
              <w:t xml:space="preserve">8%</w:t>
            </w:r>
          </w:p>
        </w:tc>
      </w:tr>
      <w:tr>
        <w:trPr/>
        <w:tc>
          <w:tcPr>
            <w:tcW w:w="100" w:type="dxa"/>
            <w:vAlign w:val="top"/>
            <w:noWrap/>
          </w:tcPr>
          <w:p>
            <w:pPr>
              <w:jc w:val="both"/>
              <w:spacing w:after="0" w:line="360" w:lineRule="auto"/>
            </w:pPr>
            <w:r>
              <w:rPr>
                <w:rFonts w:ascii="'GHEA Grapalat'" w:hAnsi="'GHEA Grapalat'" w:eastAsia="'GHEA Grapalat'" w:cs="'GHEA Grapalat'"/>
                <w:sz w:val="24"/>
                <w:szCs w:val="24"/>
              </w:rPr>
              <w:t xml:space="preserve">Բիզնես գործընթացների թվայնացման ծրագրային ապահովման վարկ։ Արտադրողականության խորհրդատվության վարկ</w:t>
            </w:r>
          </w:p>
        </w:tc>
        <w:tc>
          <w:tcPr>
            <w:tcW w:w="1500" w:type="dxa"/>
            <w:vAlign w:val="top"/>
            <w:noWrap/>
          </w:tcPr>
          <w:p>
            <w:pPr>
              <w:jc w:val="center"/>
              <w:spacing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sz w:val="24"/>
                <w:szCs w:val="24"/>
              </w:rPr>
              <w:t xml:space="preserve">%</w:t>
            </w:r>
          </w:p>
        </w:tc>
      </w:tr>
      <w:tr>
        <w:trPr>
          <w:trHeight w:val="350" w:hRule="exact"/>
        </w:trPr>
        <w:tc>
          <w:tcPr>
            <w:tcW w:w="100" w:type="dxa"/>
            <w:vAlign w:val="top"/>
            <w:noWrap/>
          </w:tcPr>
          <w:p>
            <w:pPr>
              <w:jc w:val="both"/>
              <w:spacing w:after="0" w:line="360" w:lineRule="auto"/>
            </w:pPr>
            <w:r>
              <w:rPr>
                <w:rFonts w:ascii="'GHEA Grapalat'" w:hAnsi="'GHEA Grapalat'" w:eastAsia="'GHEA Grapalat'" w:cs="'GHEA Grapalat'"/>
                <w:sz w:val="24"/>
                <w:szCs w:val="24"/>
              </w:rPr>
              <w:t xml:space="preserve">Բիզնես գործընթացների թվայնացման ծրագրային ապահովման լիզինգ։ Արտադրողականության խորհրդատվության լիզինգ</w:t>
            </w:r>
          </w:p>
        </w:tc>
        <w:tc>
          <w:tcPr>
            <w:tcW w:w="1500" w:type="dxa"/>
            <w:vAlign w:val="top"/>
            <w:noWrap/>
          </w:tcPr>
          <w:p>
            <w:pPr>
              <w:jc w:val="center"/>
              <w:spacing w:after="0" w:line="360"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sz w:val="24"/>
                <w:szCs w:val="24"/>
              </w:rPr>
              <w:t xml:space="preserve">%</w:t>
            </w:r>
          </w:p>
        </w:tc>
      </w:tr>
    </w:tbl>
    <w:p>
      <w:pPr>
        <w:jc w:val="both"/>
        <w:spacing w:after="0" w:line="360" w:lineRule="auto"/>
      </w:pPr>
      <w:r>
        <w:rPr>
          <w:rFonts w:ascii="'GHEA Grapalat'" w:hAnsi="'GHEA Grapalat'" w:eastAsia="'GHEA Grapalat'" w:cs="'GHEA Grapalat'"/>
          <w:sz w:val="24"/>
          <w:szCs w:val="24"/>
        </w:rPr>
        <w:t xml:space="preserve">10. Արտարժույթով վարկի/լիզինգի սուբսիդավորման չափերը, կախված նպատակից, հետևյալն են՝</w:t>
      </w:r>
    </w:p>
    <w:p>
      <w:pPr>
        <w:ind w:left="0" w:right="0" w:firstLine="0"/>
        <w:spacing w:before="0" w:after="0" w:line="360" w:lineRule="auto"/>
      </w:pP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Աղյուսակ 2</w:t>
      </w:r>
    </w:p>
    <w:tbl>
      <w:tblGrid>
        <w:gridCol w:w="1500" w:type="dxa"/>
        <w:gridCol w:w="100" w:type="dxa"/>
        <w:gridCol w:w="100" w:type="dxa"/>
      </w:tblGrid>
      <w:tblPr>
        <w:tblW w:w="10440" w:type="dxa"/>
        <w:tblCellSpacing w:w="0" w:type="dxa"/>
        <w:tblLayout w:type="autofit"/>
        <w:tblBorders>
          <w:top w:val="single" w:sz="0"/>
          <w:left w:val="single" w:sz="0"/>
          <w:right w:val="single" w:sz="0"/>
          <w:bottom w:val="single" w:sz="0"/>
          <w:insideH w:val="single" w:sz="0"/>
          <w:insideV w:val="single" w:sz="0"/>
        </w:tblBorders>
      </w:tblPr>
      <w:tr>
        <w:trPr>
          <w:trHeight w:val="630" w:hRule="exact"/>
        </w:trPr>
        <w:tc>
          <w:tcPr>
            <w:tcW w:w="1500" w:type="dxa"/>
            <w:vAlign w:val="top"/>
            <w:noWrap/>
          </w:tcPr>
          <w:p>
            <w:pPr>
              <w:jc w:val="center"/>
              <w:spacing w:before="0" w:after="0" w:line="240" w:lineRule="auto"/>
            </w:pPr>
            <w:r>
              <w:rPr>
                <w:rFonts w:ascii="'GHEA Grapalat'" w:hAnsi="'GHEA Grapalat'" w:eastAsia="'GHEA Grapalat'" w:cs="'GHEA Grapalat'"/>
                <w:sz w:val="24"/>
                <w:szCs w:val="24"/>
              </w:rPr>
              <w:t xml:space="preserve">Նպատակը</w:t>
            </w:r>
          </w:p>
        </w:tc>
        <w:tc>
          <w:tcPr>
            <w:tcW w:w="100" w:type="dxa"/>
            <w:vAlign w:val="top"/>
            <w:noWrap/>
          </w:tcPr>
          <w:p>
            <w:pPr>
              <w:jc w:val="center"/>
              <w:spacing w:before="0" w:after="0" w:line="240" w:lineRule="auto"/>
            </w:pPr>
            <w:r>
              <w:rPr>
                <w:rFonts w:ascii="'GHEA Grapalat'" w:hAnsi="'GHEA Grapalat'" w:eastAsia="'GHEA Grapalat'" w:cs="'GHEA Grapalat'"/>
                <w:sz w:val="24"/>
                <w:szCs w:val="24"/>
              </w:rPr>
              <w:t xml:space="preserve">Սուբսիդավորման չափը</w:t>
            </w:r>
          </w:p>
        </w:tc>
        <w:tc>
          <w:tcPr>
            <w:tcW w:w="100" w:type="dxa"/>
            <w:vAlign w:val="top"/>
            <w:noWrap/>
          </w:tcPr>
          <w:p>
            <w:pPr>
              <w:jc w:val="center"/>
              <w:spacing w:before="0" w:after="0" w:line="36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 </w:t>
            </w:r>
          </w:p>
          <w:p>
            <w:pPr>
              <w:jc w:val="center"/>
              <w:spacing w:before="0" w:after="0" w:line="240" w:lineRule="auto"/>
            </w:pPr>
            <w:r>
              <w:rPr>
                <w:rFonts w:ascii="'GHEA Grapalat'" w:hAnsi="'GHEA Grapalat'" w:eastAsia="'GHEA Grapalat'" w:cs="'GHEA Grapalat'"/>
                <w:sz w:val="24"/>
                <w:szCs w:val="24"/>
              </w:rPr>
              <w:t xml:space="preserve"></w:t>
            </w:r>
            <w:r>
              <w:rPr>
                <w:rFonts w:ascii="'Cambria Math'" w:hAnsi="'Cambria Math'" w:eastAsia="'Cambria Math'" w:cs="'Cambria Math'"/>
                <w:sz w:val="24"/>
                <w:szCs w:val="24"/>
              </w:rPr>
              <w:t xml:space="preserve">․</w:t>
            </w:r>
          </w:p>
        </w:tc>
      </w:tr>
      <w:tr>
        <w:trPr>
          <w:trHeight w:val="447" w:hRule="exact"/>
        </w:trPr>
        <w:tc>
          <w:tcPr>
            <w:tcW w:w="1500" w:type="dxa"/>
            <w:vAlign w:val="top"/>
            <w:noWrap/>
          </w:tcPr>
          <w:p>
            <w:pPr>
              <w:jc w:val="both"/>
              <w:spacing w:before="0" w:after="0" w:line="276" w:lineRule="auto"/>
            </w:pPr>
            <w:r>
              <w:rPr>
                <w:rFonts w:ascii="'GHEA Grapalat'" w:hAnsi="'GHEA Grapalat'" w:eastAsia="'GHEA Grapalat'" w:cs="'GHEA Grapalat'"/>
                <w:sz w:val="24"/>
                <w:szCs w:val="24"/>
              </w:rPr>
              <w:t xml:space="preserve">Մեքենասարքավորումներ և դրանց բաղկացուցիչ մասերի վարկ</w:t>
            </w:r>
          </w:p>
        </w:tc>
        <w:tc>
          <w:tcPr>
            <w:tcW w:w="100" w:type="dxa"/>
            <w:vAlign w:val="top"/>
            <w:noWrap/>
          </w:tcPr>
          <w:p>
            <w:pPr>
              <w:jc w:val="center"/>
              <w:spacing w:before="0" w:after="0" w:line="360" w:lineRule="auto"/>
            </w:pPr>
            <w:r>
              <w:rPr>
                <w:rFonts w:ascii="'GHEA Grapalat'" w:hAnsi="'GHEA Grapalat'" w:eastAsia="'GHEA Grapalat'" w:cs="'GHEA Grapalat'"/>
                <w:sz w:val="24"/>
                <w:szCs w:val="24"/>
              </w:rPr>
              <w:t xml:space="preserve">4 %</w:t>
            </w:r>
          </w:p>
        </w:tc>
      </w:tr>
      <w:tr>
        <w:trPr>
          <w:trHeight w:val="718" w:hRule="exact"/>
        </w:trPr>
        <w:tc>
          <w:tcPr>
            <w:tcW w:w="1500" w:type="dxa"/>
            <w:vAlign w:val="top"/>
            <w:noWrap/>
          </w:tcPr>
          <w:p>
            <w:pPr>
              <w:jc w:val="both"/>
              <w:spacing w:before="0" w:after="0" w:line="276" w:lineRule="auto"/>
            </w:pPr>
            <w:r>
              <w:rPr>
                <w:rFonts w:ascii="'GHEA Grapalat'" w:hAnsi="'GHEA Grapalat'" w:eastAsia="'GHEA Grapalat'" w:cs="'GHEA Grapalat'"/>
                <w:sz w:val="24"/>
                <w:szCs w:val="24"/>
              </w:rPr>
              <w:t xml:space="preserve">Մեքենասարքավորումներ և դրանց բաղկացուցիչ մասերի լիզինգ</w:t>
            </w:r>
          </w:p>
        </w:tc>
        <w:tc>
          <w:tcPr>
            <w:tcW w:w="100" w:type="dxa"/>
            <w:vAlign w:val="top"/>
            <w:noWrap/>
          </w:tcPr>
          <w:p>
            <w:pPr>
              <w:jc w:val="center"/>
              <w:spacing w:before="0" w:after="0" w:line="360" w:lineRule="auto"/>
            </w:pPr>
            <w:r>
              <w:rPr>
                <w:rFonts w:ascii="'GHEA Grapalat'" w:hAnsi="'GHEA Grapalat'" w:eastAsia="'GHEA Grapalat'" w:cs="'GHEA Grapalat'"/>
                <w:sz w:val="24"/>
                <w:szCs w:val="24"/>
              </w:rPr>
              <w:t xml:space="preserve">6 %</w:t>
            </w:r>
          </w:p>
        </w:tc>
      </w:tr>
      <w:tr>
        <w:trPr>
          <w:trHeight w:val="469" w:hRule="exact"/>
        </w:trPr>
        <w:tc>
          <w:tcPr>
            <w:tcW w:w="1500" w:type="dxa"/>
            <w:vAlign w:val="top"/>
            <w:noWrap/>
          </w:tcPr>
          <w:p>
            <w:pPr>
              <w:jc w:val="both"/>
              <w:spacing w:before="0" w:after="0" w:line="276" w:lineRule="auto"/>
            </w:pPr>
            <w:r>
              <w:rPr>
                <w:rFonts w:ascii="'GHEA Grapalat'" w:hAnsi="'GHEA Grapalat'" w:eastAsia="'GHEA Grapalat'" w:cs="'GHEA Grapalat'"/>
                <w:sz w:val="24"/>
                <w:szCs w:val="24"/>
              </w:rPr>
              <w:t xml:space="preserve">Կապիտալ շինարարության վարկ</w:t>
            </w:r>
          </w:p>
        </w:tc>
        <w:tc>
          <w:tcPr>
            <w:tcW w:w="100" w:type="dxa"/>
            <w:vAlign w:val="top"/>
            <w:noWrap/>
          </w:tcPr>
          <w:p>
            <w:pPr>
              <w:jc w:val="center"/>
              <w:spacing w:before="0" w:after="0" w:line="360" w:lineRule="auto"/>
            </w:pPr>
            <w:r>
              <w:rPr>
                <w:rFonts w:ascii="'GHEA Grapalat'" w:hAnsi="'GHEA Grapalat'" w:eastAsia="'GHEA Grapalat'" w:cs="'GHEA Grapalat'"/>
                <w:sz w:val="24"/>
                <w:szCs w:val="24"/>
              </w:rPr>
              <w:t xml:space="preserve">4 %</w:t>
            </w:r>
          </w:p>
        </w:tc>
      </w:tr>
      <w:tr>
        <w:trPr>
          <w:trHeight w:val="454" w:hRule="exact"/>
        </w:trPr>
        <w:tc>
          <w:tcPr>
            <w:tcW w:w="1500" w:type="dxa"/>
            <w:vAlign w:val="top"/>
            <w:noWrap/>
          </w:tcPr>
          <w:p>
            <w:pPr>
              <w:jc w:val="both"/>
              <w:spacing w:before="0" w:after="0" w:line="276" w:lineRule="auto"/>
            </w:pPr>
            <w:r>
              <w:rPr>
                <w:rFonts w:ascii="'GHEA Grapalat'" w:hAnsi="'GHEA Grapalat'" w:eastAsia="'GHEA Grapalat'" w:cs="'GHEA Grapalat'"/>
                <w:sz w:val="24"/>
                <w:szCs w:val="24"/>
              </w:rPr>
              <w:t xml:space="preserve">Կապիտալ շինարարության լիզինգ</w:t>
            </w:r>
          </w:p>
        </w:tc>
        <w:tc>
          <w:tcPr>
            <w:tcW w:w="100" w:type="dxa"/>
            <w:vAlign w:val="top"/>
            <w:noWrap/>
          </w:tcPr>
          <w:p>
            <w:pPr>
              <w:jc w:val="center"/>
              <w:spacing w:before="0" w:after="0" w:line="360" w:lineRule="auto"/>
            </w:pPr>
            <w:r>
              <w:rPr>
                <w:rFonts w:ascii="'GHEA Grapalat'" w:hAnsi="'GHEA Grapalat'" w:eastAsia="'GHEA Grapalat'" w:cs="'GHEA Grapalat'"/>
                <w:sz w:val="24"/>
                <w:szCs w:val="24"/>
              </w:rPr>
              <w:t xml:space="preserve">6 %</w:t>
            </w:r>
          </w:p>
        </w:tc>
      </w:tr>
      <w:tr>
        <w:trPr>
          <w:trHeight w:val="1085" w:hRule="exact"/>
        </w:trPr>
        <w:tc>
          <w:tcPr>
            <w:tcW w:w="1500" w:type="dxa"/>
            <w:vAlign w:val="top"/>
            <w:noWrap/>
          </w:tcPr>
          <w:p>
            <w:pPr>
              <w:jc w:val="both"/>
              <w:spacing w:before="0" w:after="0" w:line="276" w:lineRule="auto"/>
            </w:pPr>
            <w:r>
              <w:rPr>
                <w:rFonts w:ascii="'GHEA Grapalat'" w:hAnsi="'GHEA Grapalat'" w:eastAsia="'GHEA Grapalat'" w:cs="'GHEA Grapalat'"/>
                <w:sz w:val="24"/>
                <w:szCs w:val="24"/>
              </w:rPr>
              <w:t xml:space="preserve">Բիզնես գործընթացների թվայնացման ծրագրային ապահովման վարկ։ Արտադրողականության խորհրդատվության վարկ</w:t>
            </w:r>
          </w:p>
        </w:tc>
        <w:tc>
          <w:tcPr>
            <w:tcW w:w="100" w:type="dxa"/>
            <w:vAlign w:val="top"/>
            <w:noWrap/>
          </w:tcPr>
          <w:p>
            <w:pPr>
              <w:jc w:val="center"/>
              <w:spacing w:before="0" w:after="0" w:line="360" w:lineRule="auto"/>
            </w:pPr>
            <w:r>
              <w:rPr>
                <w:rFonts w:ascii="'GHEA Grapalat'" w:hAnsi="'GHEA Grapalat'" w:eastAsia="'GHEA Grapalat'" w:cs="'GHEA Grapalat'"/>
                <w:sz w:val="24"/>
                <w:szCs w:val="24"/>
              </w:rPr>
              <w:t xml:space="preserve">4 %</w:t>
            </w:r>
          </w:p>
        </w:tc>
      </w:tr>
      <w:tr>
        <w:trPr>
          <w:trHeight w:val="665" w:hRule="exact"/>
        </w:trPr>
        <w:tc>
          <w:tcPr>
            <w:tcW w:w="1500" w:type="dxa"/>
            <w:vAlign w:val="top"/>
            <w:noWrap/>
          </w:tcPr>
          <w:p>
            <w:pPr>
              <w:jc w:val="both"/>
              <w:spacing w:before="0" w:after="0" w:line="276" w:lineRule="auto"/>
            </w:pPr>
            <w:r>
              <w:rPr>
                <w:rFonts w:ascii="'GHEA Grapalat'" w:hAnsi="'GHEA Grapalat'" w:eastAsia="'GHEA Grapalat'" w:cs="'GHEA Grapalat'"/>
                <w:sz w:val="24"/>
                <w:szCs w:val="24"/>
              </w:rPr>
              <w:t xml:space="preserve">Բիզնես գործընթացների թվայնացման ծրագրային ապահովման լիզինգ։ Արտադրողականության խորհրդատվության լիզինգ</w:t>
            </w:r>
          </w:p>
        </w:tc>
        <w:tc>
          <w:tcPr>
            <w:tcW w:w="100" w:type="dxa"/>
            <w:vAlign w:val="top"/>
            <w:noWrap/>
          </w:tcPr>
          <w:p>
            <w:pPr>
              <w:jc w:val="center"/>
              <w:spacing w:before="0" w:after="0" w:line="360" w:lineRule="auto"/>
            </w:pPr>
            <w:r>
              <w:rPr>
                <w:rFonts w:ascii="'GHEA Grapalat'" w:hAnsi="'GHEA Grapalat'" w:eastAsia="'GHEA Grapalat'" w:cs="'GHEA Grapalat'"/>
                <w:sz w:val="24"/>
                <w:szCs w:val="24"/>
              </w:rPr>
              <w:t xml:space="preserve">6 %</w:t>
            </w:r>
          </w:p>
        </w:tc>
      </w:tr>
    </w:tbl>
    <w:p>
      <w:pPr>
        <w:jc w:val="both"/>
        <w:spacing w:before="0" w:after="0" w:line="360" w:lineRule="auto"/>
      </w:pPr>
      <w:r>
        <w:rPr>
          <w:rFonts w:ascii="'GHEA Grapalat'" w:hAnsi="'GHEA Grapalat'" w:eastAsia="'GHEA Grapalat'" w:cs="'GHEA Grapalat'"/>
          <w:sz w:val="24"/>
          <w:szCs w:val="24"/>
        </w:rPr>
        <w:t xml:space="preserve">5) 16-րդ կետում «2025 թվականի դեկտեմբերի 31-ը» բառերը փոխարինել «2026 թվականի դեկտեմբերի 31-ը» բառերով</w:t>
      </w:r>
      <w:r>
        <w:rPr>
          <w:rFonts w:ascii="'Cambria Math'" w:hAnsi="'Cambria Math'" w:eastAsia="'Cambria Math'" w:cs="'Cambria Math'"/>
          <w:sz w:val="24"/>
          <w:szCs w:val="24"/>
        </w:rPr>
        <w:t xml:space="preserve">․</w:t>
      </w:r>
    </w:p>
    <w:p>
      <w:pPr>
        <w:jc w:val="both"/>
        <w:spacing w:after="0" w:line="360" w:lineRule="auto"/>
      </w:pPr>
      <w:r>
        <w:rPr>
          <w:rFonts w:ascii="'GHEA Grapalat'" w:hAnsi="'GHEA Grapalat'" w:eastAsia="'GHEA Grapalat'" w:cs="'GHEA Grapalat'"/>
          <w:lang w:val="hy-HY"/>
          <w:sz w:val="24"/>
          <w:szCs w:val="24"/>
        </w:rPr>
        <w:t xml:space="preserve">6) 15-րդ կետով սահմանված աղյուսակում կատարել հետևյալ լրացումը՝ </w:t>
      </w:r>
    </w:p>
    <w:p>
      <w:pPr>
        <w:jc w:val="both"/>
        <w:spacing w:after="0" w:line="360" w:lineRule="auto"/>
      </w:pPr>
      <w:r>
        <w:rPr>
          <w:rFonts w:ascii="'GHEA Grapalat'" w:hAnsi="'GHEA Grapalat'" w:eastAsia="'GHEA Grapalat'" w:cs="'GHEA Grapalat'"/>
          <w:lang w:val="hy-HY"/>
          <w:sz w:val="24"/>
          <w:szCs w:val="24"/>
        </w:rPr>
        <w:t xml:space="preserve">«Տնտեսական գործունեության տեսակների «Գործունեության նպատակ» սյունակում «D (ԴԻ) Էլեկտրականության, գազի, գոլորշու և լավորակ օդի մատակարարում» տողից հետո ավելացնել նոր տող՝ </w:t>
      </w:r>
    </w:p>
    <w:p>
      <w:pPr>
        <w:jc w:val="both"/>
        <w:spacing w:after="0" w:line="360" w:lineRule="auto"/>
      </w:pPr>
      <w:r>
        <w:rPr>
          <w:rFonts w:ascii="'GHEA Grapalat'" w:hAnsi="'GHEA Grapalat'" w:eastAsia="'GHEA Grapalat'" w:cs="'GHEA Grapalat'"/>
          <w:lang w:val="hy-HY"/>
          <w:sz w:val="24"/>
          <w:szCs w:val="24"/>
        </w:rPr>
        <w:t xml:space="preserve">E38</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2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Թափոնների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մշակում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ոչնչացում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մշակում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տեսակավորում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բնապահպանական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վերամշակում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կենցաղային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արդյունաբերական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թափոնների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այլ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վերամշակման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տեսակներ</w:t>
      </w:r>
      <w:r>
        <w:rPr>
          <w:rFonts w:ascii="'GHEA Grapalat'" w:hAnsi="'GHEA Grapalat'" w:eastAsia="'GHEA Grapalat'" w:cs="'GHEA Grapalat'"/>
          <w:lang w:val="hy-HY"/>
          <w:sz w:val="24"/>
          <w:szCs w:val="24"/>
        </w:rPr>
        <w:t xml:space="preserve">)»</w:t>
      </w:r>
    </w:p>
    <w:tbl>
      <w:tblGrid>
        <w:gridCol w:w="100" w:type="dxa"/>
        <w:gridCol w:w="140" w:type="dxa"/>
        <w:gridCol w:w="60" w:type="dxa"/>
        <w:gridCol w:w="0" w:type="dxa"/>
      </w:tblGrid>
      <w:tblPr>
        <w:tblW w:w="10890" w:type="dxa"/>
        <w:tblCellSpacing w:w="0" w:type="dxa"/>
        <w:tblLayout w:type="autofit"/>
        <w:tblBorders>
          <w:top w:val="single" w:sz="0"/>
          <w:left w:val="single" w:sz="0"/>
          <w:right w:val="single" w:sz="0"/>
          <w:bottom w:val="single" w:sz="0"/>
          <w:insideH w:val="single" w:sz="0"/>
          <w:insideV w:val="single" w:sz="0"/>
        </w:tblBorders>
      </w:tblPr>
      <w:tr>
        <w:trPr>
          <w:trHeight w:val="1583" w:hRule="exact"/>
        </w:trPr>
        <w:tc>
          <w:tcPr>
            <w:tcW w:w="100" w:type="dxa"/>
            <w:vAlign w:val="top"/>
            <w:noWrap/>
          </w:tcPr>
          <w:p>
            <w:pPr>
              <w:jc w:val="end"/>
              <w:spacing w:after="0" w:line="360" w:lineRule="auto"/>
            </w:pPr>
            <w:r>
              <w:rPr>
                <w:rFonts w:ascii="'GHEA Grapalat'" w:hAnsi="'GHEA Grapalat'" w:eastAsia="'GHEA Grapalat'" w:cs="'GHEA Grapalat'"/>
                <w:sz w:val="24"/>
                <w:szCs w:val="24"/>
              </w:rPr>
              <w:t xml:space="preserve"></w:t>
            </w:r>
          </w:p>
        </w:tc>
        <w:tc>
          <w:tcPr>
            <w:tcW w:w="140" w:type="dxa"/>
            <w:vAlign w:val="top"/>
            <w:noWrap/>
          </w:tcPr>
          <w:p>
            <w:pPr>
              <w:jc w:val="both"/>
              <w:spacing w:after="0" w:line="360" w:lineRule="auto"/>
            </w:pPr>
            <w:r>
              <w:rPr>
                <w:rFonts w:ascii="'GHEA Grapalat'" w:hAnsi="'GHEA Grapalat'" w:eastAsia="'GHEA Grapalat'" w:cs="'GHEA Grapalat'"/>
                <w:sz w:val="24"/>
                <w:szCs w:val="24"/>
              </w:rPr>
              <w:t xml:space="preserve">E (Ի) 38.2 ԹԱՓՈՆՆԵՐԻ ՄՇԱԿՈՒՄ ԵՎ ՈՉՆՉԱՑՈՒՄ</w:t>
            </w:r>
          </w:p>
        </w:tc>
        <w:tc>
          <w:tcPr>
            <w:tcW w:w="60" w:type="dxa"/>
            <w:vAlign w:val="top"/>
            <w:noWrap/>
          </w:tcPr>
          <w:p>
            <w:pPr>
              <w:jc w:val="both"/>
              <w:spacing w:after="0" w:line="360" w:lineRule="auto"/>
            </w:pPr>
            <w:r>
              <w:rPr>
                <w:rFonts w:ascii="'GHEA Grapalat'" w:hAnsi="'GHEA Grapalat'" w:eastAsia="'GHEA Grapalat'" w:cs="'GHEA Grapalat'"/>
                <w:lang w:val="hy-HY"/>
                <w:color w:val="black"/>
                <w:sz w:val="24"/>
                <w:szCs w:val="24"/>
              </w:rPr>
              <w:t xml:space="preserve">մեքենասարքավորումների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և դրանց</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բաղկացուցիչ</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մասերի ձեռքբերում</w:t>
            </w:r>
            <w:r>
              <w:rPr>
                <w:rFonts w:ascii="'GHEA Grapalat'" w:hAnsi="'GHEA Grapalat'" w:eastAsia="'GHEA Grapalat'" w:cs="'GHEA Grapalat'"/>
                <w:lang w:val="hy-HY"/>
                <w:color w:val="black"/>
                <w:sz w:val="24"/>
                <w:szCs w:val="24"/>
              </w:rPr>
              <w:t xml:space="preserve">;</w:t>
            </w:r>
          </w:p>
          <w:p>
            <w:pPr>
              <w:jc w:val="both"/>
              <w:spacing w:after="0" w:line="360" w:lineRule="auto"/>
            </w:pPr>
            <w:r>
              <w:rPr>
                <w:rFonts w:ascii="'GHEA Grapalat'" w:hAnsi="'GHEA Grapalat'" w:eastAsia="'GHEA Grapalat'" w:cs="'GHEA Grapalat'"/>
                <w:lang w:val="hy-HY"/>
                <w:color w:val="black"/>
                <w:sz w:val="24"/>
                <w:szCs w:val="24"/>
              </w:rPr>
              <w:t xml:space="preserve">կապիտալ</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շինարարության իրականացում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բիզնես</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գործընթացների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թվայնացման</w:t>
            </w:r>
          </w:p>
        </w:tc>
        <w:tc>
          <w:tcPr>
            <w:tcW w:w="0" w:type="dxa"/>
            <w:vAlign w:val="top"/>
            <w:noWrap/>
          </w:tcPr>
          <w:p>
            <w:pPr>
              <w:jc w:val="both"/>
              <w:spacing w:after="0" w:line="360" w:lineRule="auto"/>
            </w:pPr>
            <w:r>
              <w:rPr>
                <w:rFonts w:ascii="'GHEA Grapalat'" w:hAnsi="'GHEA Grapalat'" w:eastAsia="'GHEA Grapalat'" w:cs="'GHEA Grapalat'"/>
                <w:lang w:val="hy-HY"/>
                <w:color w:val="black"/>
                <w:sz w:val="24"/>
                <w:szCs w:val="24"/>
              </w:rPr>
              <w:t xml:space="preserve"> </w:t>
            </w:r>
          </w:p>
          <w:p>
            <w:pPr>
              <w:jc w:val="both"/>
              <w:spacing w:after="0" w:line="360" w:lineRule="auto"/>
            </w:pPr>
            <w:r>
              <w:rPr>
                <w:rFonts w:ascii="'GHEA Grapalat'" w:hAnsi="'GHEA Grapalat'" w:eastAsia="'GHEA Grapalat'" w:cs="'GHEA Grapalat'"/>
                <w:lang w:val="hy-HY"/>
                <w:color w:val="black"/>
                <w:sz w:val="24"/>
                <w:szCs w:val="24"/>
              </w:rPr>
              <w:t xml:space="preserve"> </w:t>
            </w:r>
          </w:p>
          <w:p>
            <w:pPr>
              <w:jc w:val="both"/>
              <w:spacing w:after="0" w:line="360" w:lineRule="auto"/>
            </w:pPr>
            <w:r>
              <w:rPr>
                <w:rFonts w:ascii="'GHEA Grapalat'" w:hAnsi="'GHEA Grapalat'" w:eastAsia="'GHEA Grapalat'" w:cs="'GHEA Grapalat'"/>
                <w:lang w:val="hy-HY"/>
                <w:color w:val="black"/>
                <w:sz w:val="24"/>
                <w:szCs w:val="24"/>
              </w:rPr>
              <w:t xml:space="preserve"> </w:t>
            </w:r>
          </w:p>
          <w:p>
            <w:pPr>
              <w:jc w:val="both"/>
              <w:spacing w:after="0" w:line="360" w:lineRule="auto"/>
            </w:pPr>
            <w:r>
              <w:rPr>
                <w:rFonts w:ascii="'GHEA Grapalat'" w:hAnsi="'GHEA Grapalat'" w:eastAsia="'GHEA Grapalat'" w:cs="'GHEA Grapalat'"/>
                <w:lang w:val="hy-HY"/>
                <w:color w:val="black"/>
                <w:sz w:val="24"/>
                <w:szCs w:val="24"/>
              </w:rPr>
              <w:t xml:space="preserve"></w:t>
            </w:r>
            <w:r>
              <w:rPr>
                <w:rFonts w:ascii="'Cambria Math'" w:hAnsi="'Cambria Math'" w:eastAsia="'Cambria Math'" w:cs="'Cambria Math'"/>
                <w:lang w:val="hy-HY"/>
                <w:color w:val="black"/>
                <w:sz w:val="24"/>
                <w:szCs w:val="24"/>
              </w:rPr>
              <w:t xml:space="preserve">․</w:t>
            </w:r>
          </w:p>
        </w:tc>
      </w:tr>
    </w:tbl>
    <w:p>
      <w:pPr>
        <w:jc w:val="both"/>
        <w:spacing w:before="0" w:after="0" w:line="360" w:lineRule="auto"/>
      </w:pPr>
      <w:r>
        <w:rPr>
          <w:rFonts w:ascii="'GHEA Grapalat'" w:hAnsi="'GHEA Grapalat'" w:eastAsia="'GHEA Grapalat'" w:cs="'GHEA Grapalat'"/>
          <w:lang w:val="hy-HY"/>
          <w:sz w:val="24"/>
          <w:szCs w:val="24"/>
        </w:rPr>
        <w:t xml:space="preserve">2. Մինչև սույն որոշումն ուժի մեջ մտնելը կնքված պայմանագրերի շրջանակներում տրամադրված, ինչպես նաև ֆինանսական կազմակերպությունների կողմից հաստատված </w:t>
      </w:r>
      <w:r>
        <w:rPr>
          <w:rFonts w:ascii="'GHEA Grapalat'" w:hAnsi="'GHEA Grapalat'" w:eastAsia="'GHEA Grapalat'" w:cs="'GHEA Grapalat'"/>
          <w:sz w:val="24"/>
          <w:szCs w:val="24"/>
        </w:rPr>
        <w:t xml:space="preserve">(</w:t>
      </w:r>
      <w:r>
        <w:rPr>
          <w:rFonts w:ascii="'GHEA Grapalat'" w:hAnsi="'GHEA Grapalat'" w:eastAsia="'GHEA Grapalat'" w:cs="'GHEA Grapalat'"/>
          <w:lang w:val="hy-HY"/>
          <w:sz w:val="24"/>
          <w:szCs w:val="24"/>
        </w:rPr>
        <w:t xml:space="preserve">դեռևս չտրամադրված</w:t>
      </w:r>
      <w:r>
        <w:rPr>
          <w:rFonts w:ascii="'GHEA Grapalat'" w:hAnsi="'GHEA Grapalat'" w:eastAsia="'GHEA Grapalat'" w:cs="'GHEA Grapalat'"/>
          <w:sz w:val="24"/>
          <w:szCs w:val="24"/>
        </w:rPr>
        <w:t xml:space="preserve">)</w:t>
      </w:r>
      <w:r>
        <w:rPr>
          <w:rFonts w:ascii="'GHEA Grapalat'" w:hAnsi="'GHEA Grapalat'" w:eastAsia="'GHEA Grapalat'" w:cs="'GHEA Grapalat'"/>
          <w:lang w:val="hy-HY"/>
          <w:sz w:val="24"/>
          <w:szCs w:val="24"/>
        </w:rPr>
        <w:t xml:space="preserve"> վարկերի/փուլային վարկերի և լիզինգի սույն որոշումն ուժի մեջ մտնելուց հետո սպասարկումը շարունակվում է իրականացվել միևնույն պայմաններով:</w:t>
      </w:r>
    </w:p>
    <w:p>
      <w:pPr>
        <w:jc w:val="both"/>
        <w:spacing w:line="360" w:lineRule="auto"/>
      </w:pPr>
      <w:r>
        <w:rPr>
          <w:rFonts w:ascii="'GHEA Grapalat'" w:hAnsi="'GHEA Grapalat'" w:eastAsia="'GHEA Grapalat'" w:cs="'GHEA Grapalat'"/>
          <w:lang w:val="hy-HY"/>
          <w:sz w:val="24"/>
          <w:szCs w:val="24"/>
        </w:rPr>
        <w:t xml:space="preserve">3. Սույն որոշումն ուժի մեջ է մտնում հրապարակմանը հաջորդող օրվանից։</w:t>
      </w:r>
    </w:p>
    <w:p>
      <w:pPr>
        <w:jc w:val="both"/>
        <w:spacing w:line="360" w:lineRule="auto"/>
      </w:pPr>
      <w:r>
        <w:rPr>
          <w:rFonts w:ascii="'GHEA Grapalat'" w:hAnsi="'GHEA Grapalat'" w:eastAsia="'GHEA Grapalat'" w:cs="'GHEA Grapalat'"/>
          <w:lang w:val="hy-HY"/>
          <w:sz w:val="24"/>
          <w:szCs w:val="24"/>
        </w:rPr>
        <w:t xml:space="preserve"> </w:t>
      </w:r>
    </w:p>
    <w:p>
      <w:pPr>
        <w:jc w:val="both"/>
        <w:spacing w:line="360" w:lineRule="auto"/>
      </w:pPr>
      <w:r>
        <w:rPr>
          <w:rFonts w:ascii="'GHEA Grapalat'" w:hAnsi="'GHEA Grapalat'" w:eastAsia="'GHEA Grapalat'" w:cs="'GHEA Grapalat'"/>
          <w:lang w:val="hy-HY"/>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2026-04-01T16:05:14+04:00</dcterms:created>
  <dcterms:modified xsi:type="dcterms:W3CDTF">2026-04-01T16:05:14+04:00</dcterms:modified>
</cp:coreProperties>
</file>

<file path=docProps/custom.xml><?xml version="1.0" encoding="utf-8"?>
<Properties xmlns="http://schemas.openxmlformats.org/officeDocument/2006/custom-properties" xmlns:vt="http://schemas.openxmlformats.org/officeDocument/2006/docPropsVTypes"/>
</file>