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վարչական իրավախախտումների վերաբերյալ օրենսգրքում փոփոխություններ և լրացումներ կատարելու մասին» Հայաստանի Հանրապետության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ՎԱՐՉԱԿԱՆ ԻՐԱՎԱԽԱԽՏՈՒՄՆԵՐԻ ՎԵՐԱԲԵՐՅԱԼ ՕՐԵՆՍԳՐՔՈՒՄ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․ 1985 թվականի դեկտեմբերի 6-ի Հայաստանի Հանրապետության վարչական իրավախախտումների վերաբերյալ օրենսգրքի (այսուհետ՝ Օրենսգիրք) 137-րդ հոդվածի առաջին և երկրորդ պարբերությունները փոփոխել և շարադրել հետևյալ խմբագրությամբ․</w:t>
      </w:r>
    </w:p>
    <w:p>
      <w:pPr/>
      <w:r>
        <w:rPr/>
        <w:t xml:space="preserve"> </w:t>
      </w:r>
    </w:p>
    <w:p>
      <w:pPr/>
      <w:r>
        <w:rPr/>
        <w:t xml:space="preserve">    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«Հոդված 137.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Անտոմս երթևեկելը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Ընդհանուր օգտագործման երկաթուղային տրանսպորտով անտոմս երթևեկելը առաջացնում է տուգանքի նշանակում`</w:t>
      </w:r>
    </w:p>
    <w:p>
      <w:pPr/>
      <w:r>
        <w:rPr/>
        <w:t xml:space="preserve">տեղական հաղորդակցության գնացքներով` սահմանված նվազագույն աշխատավարձի քսանապատիկի չափով.</w:t>
      </w:r>
    </w:p>
    <w:p>
      <w:pPr/>
      <w:r>
        <w:rPr/>
        <w:t xml:space="preserve">միջազգային հաղորդակցության գնացքներով` սահմանված նվազագույն աշխատավարձի քառասունապատիկի չափով:</w:t>
      </w:r>
    </w:p>
    <w:p>
      <w:pPr/>
      <w:r>
        <w:rPr/>
        <w:t xml:space="preserve">Տուգանքի վճարումը ուղևորին չի ազատում երթևեկության արժեքը վճարելուց»: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«Հոդվածը 2</w:t>
      </w:r>
      <w:r>
        <w:rPr>
          <w:b w:val="1"/>
          <w:bCs w:val="1"/>
        </w:rPr>
        <w:t xml:space="preserve">․</w:t>
      </w:r>
      <w:r>
        <w:rPr/>
        <w:t xml:space="preserve"> Օրենսգրիրքը լրացնել նոր 226․1-րդ հոդվածով հետևյալ բովանդակությամբ․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226.1 </w:t>
      </w:r>
      <w:r>
        <w:rPr/>
        <w:t xml:space="preserve">     Ընդհանուր օգտագործման երկաթուղային տրանսպորտով անտոմս երթևեկելու համար տուգանք նշանակող մարմինը․</w:t>
      </w:r>
    </w:p>
    <w:p>
      <w:pPr/>
      <w:r>
        <w:rPr/>
        <w:t xml:space="preserve">Ընդհանուր օգտագործման երկաթուղային տրանսպորտով անտոմս երթևեկելու համար տուգանք է նշանակում երկաթուղային ենթակառուցվածքի կառավարիչը կամ երկաթուղային շարժակազմի օպերատորը, որի համար կարգը սահմանում է Հայաստանի Հանրապետության կառավարությունը»: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Անցումային դրույթներ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numPr>
          <w:ilvl w:val="0"/>
          <w:numId w:val="2"/>
        </w:numPr>
      </w:pPr>
      <w:r>
        <w:rPr/>
        <w:t xml:space="preserve">Սույն օրենքից բխող ենթաօրենսդրական իրավական ակտերն ընդունվում են օրենքի փոփոխությունները և լրացումներն ուժի մեջ մտնելուց հետո մեկ տարվա ընթացքում։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673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2026-04-02T01:13:07+04:00</dcterms:created>
  <dcterms:modified xsi:type="dcterms:W3CDTF">2026-04-02T01:13:07+04:00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