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«2025 թվականին խաղողի մթերումներ իրականացնող տնտեսավարողներին գյուղատնտեսական հումքի մթերումների (գնումների) նպատակով տրամադրվող վարկերի շրջանակներում բյուջետային երաշխիքների տրամադրման կարգը հաստատելու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2025 թվականի N      -Լ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2025 ԹՎԱԿԱՆԻՆ ԽԱՂՈՂԻ ՄԹԵՐՈՒՄՆԵՐ ԻՐԱԿԱՆԱՑՆՈՂ ՏՆՏԵՍԱՎԱՐՈՂՆԵՐԻՆ ԳՅՈՒՂԱՏՆՏԵՍԱԿԱՆ ՀՈՒՄՔԻ ՄԹԵՐՈՒՄՆԵՐԻ (ԳՆՈՒՄՆԵՐԻ) ՆՊԱՏԱԿՈՎ ՏՐԱՄԱԴՐՎՈՂ ՎԱՐԿԵՐԻ ՇՐՋԱՆԱԿՆԵՐՈՒՄ ԲՅՈՒՋԵՏԱՅԻՆ ԵՐԱՇԽԻՔՆԵՐԻ ՏՐԱՄԱԴՐՄԱՆ ԿԱՐԳԸ ՀԱՍՏԱՏԵԼՈՒ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«Հայաստանի Հանրապետության բյուջետային համակարգի մասին» Հայաստանի Հանրապետության օրենքի 11-րդ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1․ Հաստատել 2025 թվականին խաղողի մթերումներ իրականացնող տնտեսավարողներին գյուղատնտեսական հումքի մթերումների (գնումների) նպատակով տրամադրվող վարկերի շրջանակներում բյուջետային երաշխիքների տրամադրման կարգը` համաձայն հավելվածի։</w:t>
      </w:r>
    </w:p>
    <w:p>
      <w:pPr/>
      <w:r>
        <w:rPr/>
        <w:t xml:space="preserve">2․ Սահմանել, որ՝</w:t>
      </w:r>
    </w:p>
    <w:p>
      <w:pPr/>
      <w:r>
        <w:rPr/>
        <w:t xml:space="preserve">1) բյուջետային երաշխիքները տրամադրվում են խաղողի մթերումներ իրականացնող տնտեսավարողներին՝ 2025 թվականի սեպտեմբերի 1-ից մինչև 2025 թվականի դեկտեմբերի 30-ը տրամադրվող վարկերի համար․</w:t>
      </w:r>
    </w:p>
    <w:p>
      <w:pPr/>
      <w:r>
        <w:rPr/>
        <w:t xml:space="preserve">2) բյուջետային երաշխիքները կարող են տրամադրվել առանց ապահովման լրացուցիչ միջոցների.</w:t>
      </w:r>
    </w:p>
    <w:p>
      <w:pPr/>
      <w:r>
        <w:rPr/>
        <w:t xml:space="preserve">3) շահառուի կողմից իրականացված վարկի հիմնական գումարի մարումներն առաջնային կարգով ուղղվում են բյուջետային երաշխիքներով ապահովված պարտավորությունների մարմանը.</w:t>
      </w:r>
    </w:p>
    <w:p>
      <w:pPr/>
      <w:r>
        <w:rPr/>
        <w:t xml:space="preserve">4) խաղողի վերամշակման գործունեություն իրականացնող յուրաքանչյուր շահառուին խաղողի մթերումների (գնումների) համար բյուջետային երաշխիքները տրամադրվում են առավելագույնը մինչև քսանյոթ ամիս մարման ժամկետով․</w:t>
      </w:r>
    </w:p>
    <w:p>
      <w:pPr/>
      <w:r>
        <w:rPr/>
        <w:t xml:space="preserve">5) բյուջետային երաշխիքների հիման վրա վճարման պահանջ կարող է ներկայացվել վարկի գծով 90 օր և ավելի ժամկետանց պարտավորությունների առկայության դեպքում՝ մինչև բյուջետային երաշխիքի ժամկետի լրանալը՝ 2028 թվականի հունվարի 15-ից հետո․</w:t>
      </w:r>
    </w:p>
    <w:p>
      <w:pPr/>
      <w:r>
        <w:rPr/>
        <w:t xml:space="preserve">6) յուրաքանչյուր շահառուին և «Բանկերի և բանկային գործունեության մասին» օրենքի համաձայն իր հետ փոխկապակցված իրավաբանական անձանց 2022, 2023, 2024 թվականներին տրամադրված և 2025 թվականին տրամադրվող բյուջետային երաշխիքների ընդհանուր գումարը չի կարող գերազանցել 5.0 մլրդ դրամը.</w:t>
      </w:r>
    </w:p>
    <w:p>
      <w:pPr/>
      <w:r>
        <w:rPr/>
        <w:t xml:space="preserve">7) եթե տնտեսավարողը բյուջետային երաշխիքի գործողության ժամկետում ունեցել է երաշխիքով ապահովված պարտավորությունների մարման 90 օր և ավելի ժամկետանց պարտավորություններ, ապա բյուջետային երաշխիքի տրամադրման աջակցությունից չի կարող օգտվել 2 տարի։</w:t>
      </w:r>
    </w:p>
    <w:p>
      <w:pPr/>
      <w:r>
        <w:rPr/>
        <w:t xml:space="preserve">3․ Սույն որոշումն ուժի մեջ է մտնում հրապարակմանը հաջորդող օրվանից և տարածվում է 2025 թվականի սեպտեմբերի 1-ից մինչև դեկտեմբերի 30-ը տրամադրվող վարկերի նկատմամբ։</w:t>
      </w:r>
    </w:p>
    <w:p>
      <w:pPr/>
      <w:r>
        <w:rPr/>
        <w:t xml:space="preserve">                          </w:t>
      </w:r>
    </w:p>
    <w:p>
      <w:pPr/>
      <w:r>
        <w:rPr>
          <w:b w:val="1"/>
          <w:bCs w:val="1"/>
        </w:rPr>
        <w:t xml:space="preserve">                                  Հայաստանի Հանրապետության վարչապետ                   </w:t>
      </w:r>
      <w:r>
        <w:rPr>
          <w:b w:val="1"/>
          <w:bCs w:val="1"/>
        </w:rPr>
        <w:t xml:space="preserve">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noWrap/>
          </w:tcPr>
          <w:p>
            <w:pPr>
              <w:jc w:val="end"/>
            </w:pPr>
            <w:r>
              <w:rPr/>
              <w:t xml:space="preserve">Հավելված</w:t>
            </w:r>
          </w:p>
          <w:p>
            <w:pPr>
              <w:jc w:val="end"/>
            </w:pPr>
            <w:r>
              <w:rPr/>
              <w:t xml:space="preserve">ՀՀ կառավարության 2025 թվականի</w:t>
            </w:r>
          </w:p>
          <w:p>
            <w:pPr>
              <w:jc w:val="end"/>
            </w:pPr>
            <w:r>
              <w:rPr/>
              <w:t xml:space="preserve">N           -Լ որոշման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2025 ԹՎԱԿԱՆԻՆ ԽԱՂՈՂԻ ՄԹԵՐՈՒՄՆԵՐ ԻՐԱԿԱՆԱՑՆՈՂ ՏՆՏԵՍԱՎԱՐՈՂՆԵՐԻՆ ԳՅՈՒՂԱՏՆՏԵՍԱԿԱՆ ՀՈՒՄՔԻ ՄԹԵՐՈՒՄՆԵՐԻ (ԳՆՈՒՄՆԵՐԻ) ՆՊԱՏԱԿՈՎ ՏՐԱՄԱԴՐՎՈՂ ՎԱՐԿԵՐԻ ՇՐՋԱՆԱԿՆԵՐՈՒՄ ԲՅՈՒՋԵՏԱՅԻՆ ԵՐԱՇԽԻՔՆԵՐԻ ՏՐԱՄԱԴՐՄԱՆ </w:t>
      </w:r>
    </w:p>
    <w:p>
      <w:pPr>
        <w:jc w:val="center"/>
      </w:pPr>
      <w:r>
        <w:rPr/>
        <w:t xml:space="preserve"> I. </w:t>
      </w:r>
      <w:r>
        <w:rPr>
          <w:b w:val="1"/>
          <w:bCs w:val="1"/>
        </w:rPr>
        <w:t xml:space="preserve">ԸՆԴՀԱՆՈՒՐ ԴՐՈՒՅԹՆԵՐ</w:t>
      </w:r>
    </w:p>
    <w:p>
      <w:pPr/>
      <w:r>
        <w:rPr/>
        <w:t xml:space="preserve"> 1. Սույն կարգով կարգավորվում է 2025 թվականին խաղողի մթերումներ իրականացնող տնտեսավարողներին գյուղատնտեսական հումքի մթերումների (այսուհետ՝ գնումների) նպատակով տրամադրվող վարկերի շրջանակներում բյուջետային երաշխիքների տրամադրման ընթացակարգը։</w:t>
      </w:r>
    </w:p>
    <w:p>
      <w:pPr/>
      <w:r>
        <w:rPr/>
        <w:t xml:space="preserve">2. Սույն կարգի իմաստով օգտագործվող հասկացությունները և հապավումները՝</w:t>
      </w:r>
    </w:p>
    <w:p>
      <w:pPr/>
      <w:r>
        <w:rPr/>
        <w:t xml:space="preserve">1) ծրագիր՝ գյուղատնտեսական հումքի մթերումների նպատակով տրամադրվող վարկերի շրջանակներում բյուջետային երաշխիքների տրամադրում.</w:t>
      </w:r>
    </w:p>
    <w:p>
      <w:pPr/>
      <w:r>
        <w:rPr/>
        <w:t xml:space="preserve">2) շահառու՝ Հայաստանի Հանրապետության տարածքում գործող, 2025 թվականին խաղողի գնումներ իրականացնող և 2024 թվականին արտահանումներ իրականացրած կազմակերպություն կամ անհատ ձեռնարկատեր, որն ունի դրական վարկային (վարկի համար դիմելու պահին նախորդող 12 ամիսների ընթացքում շահառուն և (կամ) իր հետ փոխկապակցված որևէ անձ չպետք է ունենա 90 օր և ավելի ժամկետով ժամկետանց վարկային պարտավորություն կամ «ոչ ստանդարտ» դասով դասակարգված վարկեր) պատմություն և դիմումի ներկայացման նախորդող օրվա դրությամբ չունի հարկային մարմնի կողմից վերահսկվող եկամուտների գծով ժամկետանց հարկային պարտավորություններ (առանց դրոշմանիշային վճարի).</w:t>
      </w:r>
    </w:p>
    <w:p>
      <w:pPr/>
      <w:r>
        <w:rPr/>
        <w:t xml:space="preserve">3) ԳՖԿ՝ Հայաստանի Հանրապետության էկոնոմիկայի նախարարության «Գյուղական տարածքների տնտեսական զարգացման ծրագրերի իրականացման գրասենյակ» պետական հիմնարկի գյուղական ֆինանսավորման կառույց.</w:t>
      </w:r>
    </w:p>
    <w:p>
      <w:pPr/>
      <w:r>
        <w:rPr/>
        <w:t xml:space="preserve">4) ՖԿ՝ Հայաստանի Հանրապետության տարածքում գործող առևտրային բանկեր կամ վարկային կազմակերպություններ, որոնք գյուղատնտեսական հումքի մթերումների (գնումների) նպատակով վարկերի տրամադրման համար սահմանված ընթացակարգով ԳՖԿ-ի հետ կնքել են պայմանագրեր.</w:t>
      </w:r>
    </w:p>
    <w:p>
      <w:pPr/>
      <w:r>
        <w:rPr/>
        <w:t xml:space="preserve">5) բյուջետային երաշխիք՝ Հայաստանի Հանրապետության կառավարության 2019 թվականի փետրվարի 28-ի N 201-Լ որոշմամբ հաստատված Գյուղատնտեսական հումքի մթերումների (գնումների) նպատակով տրամադրվող վարկերի տոկոսադրույքների սուբսիդավորման ծրագրի շրջանակներում խաղողի գնումների նպատակով տրամադրվող վարկերի համար ՖԿ-ներից վարկային միջոցներ ներգրավելու նպատակով տրամադրվող վարկի հիմնական գումարի վերադարձի ապահովման միջոց։</w:t>
      </w:r>
    </w:p>
    <w:p>
      <w:pPr/>
      <w:r>
        <w:rPr/>
        <w:t xml:space="preserve">3. Սույն կարգի հիման վրա բյուջետային երաշխիքներն առանց ապահովման միջոցի կարող են տրամադրվել խաղողի մթերումներ իրականացնող տնտեսավարողներին՝ 2025 թվականի սեպտեմբերի 1-ից մինչև 2025 թվականի դեկտեմբերի 30-ը տրամադրվող վարկերի համար՝ շահառուի կողմից իրականացված վարկի հիմնական գումարի մարումներն առաջնային կարգով բյուջետային երաշխիքներով ապահովված պարտավորությունների մարմանն ուղղելու պայմանով, առավելագույնը մինչև քսանյոթ ամիս մարման ժամկետով։</w:t>
      </w:r>
    </w:p>
    <w:p>
      <w:pPr/>
      <w:r>
        <w:rPr/>
        <w:t xml:space="preserve">4. Տրամադրվող բյուջետային երաշխիքի գումարը չպետք է գերազանցի Գյուղատնտեսական հումքի մթերումների (գնումների) նպատակով տրամադրվող վարկերի տոկոսադրույքների սուբսիդավորման ծրագրի շրջանակներում ՖԿ-ի կողմից տրամադրվող վարկի գումարի 50%-ը, բայց ոչ ավելի, քան 2024 թվականին արտահանված արտադրանքի արժեքի չափը։ Ընդ որում, տրամադրվող բյուջետային երաշխիքի գումարի նվազագույն չափը կազմում է 100.0 մլն դրամ։</w:t>
      </w:r>
    </w:p>
    <w:p>
      <w:pPr/>
      <w:r>
        <w:rPr/>
        <w:t xml:space="preserve">5. Բյուջետային երաշխիքով ապահովված վարկի գծով կնքված պայմանագրի կրկնօրինակը և մարման ժամանակացույցը հաստատումից հետո ՖԿ-ն եռօրյա ժամկետում ներկայացնում է Հայաստանի Հանրապետության ֆինանսների նախարարությանը և ԳՖԿ-ին:</w:t>
      </w:r>
    </w:p>
    <w:p>
      <w:pPr/>
      <w:r>
        <w:rPr/>
        <w:t xml:space="preserve">6. Բյուջետային երաշխիքով ապահովված վարկի հիմնական գումարի ամբողջական մարումից հետո եռօրյա ժամկետում ՖԿ-ն Հայաստանի Հանրապետության ֆինանսների նախարարությանն է վերադարձնում բյուջետային երաշխիքի բնօրինակը, ինչի վերաբերյալ տեղեկացնում է Հայաստանի Հանրապետության էկոնոմիկայի նախարարությանը։</w:t>
      </w:r>
    </w:p>
    <w:p>
      <w:pPr/>
      <w:r>
        <w:rPr/>
        <w:t xml:space="preserve">7. Ծրագրի ավարտի վերջում տրամադրված բյուջետային երաշխիքի դիմաց որպես վճար շահառուի կողմից վճարվում է միջնորդավճար՝ երաշխիքային գումարի 1 տոկոսի չափով:</w:t>
      </w:r>
    </w:p>
    <w:p>
      <w:pPr/>
      <w:r>
        <w:rPr/>
        <w:t xml:space="preserve">8. Այն դեպքում, երբ 2025 թվականին տրամադրվող բյուջետային երաշխիքի շրջանակներում շահառուի կողմից ստանձնած վարկային պարտավորությունների չկատարման արդյունքում ՖԿ-ի կողմից գրավադրված գույքի նկատմամբ իրականացվում է իրացման գործողություն, ապա գույքի իրացման արդյունքում առաջացող գումարի ՖԿ-ի կողմից հատկացված վարկի գծով գոյացած պարտավորությունների ծավալի գերազանցող մասն ուղղվում է վարկի բյուջետային երաշխիքով ապահովված մասի մարմանը:</w:t>
      </w:r>
    </w:p>
    <w:p>
      <w:pPr>
        <w:jc w:val="center"/>
      </w:pPr>
      <w:r>
        <w:rPr/>
        <w:t xml:space="preserve"> II. </w:t>
      </w:r>
      <w:r>
        <w:rPr>
          <w:b w:val="1"/>
          <w:bCs w:val="1"/>
        </w:rPr>
        <w:t xml:space="preserve">ՇԱՀԱՌՈՒՆԵՐԻ ԿՈՂՄԻՑ ԴԻՄՈՒՄՆԵՐԻ ՆԵՐԿԱՅԱՑՈՒՄԸ ԵՎ ԴՐԱՆՑ ՆԱԽՆԱԿԱՆ ՔՆՆԱՐԿՈՒՄԸ</w:t>
      </w:r>
    </w:p>
    <w:p>
      <w:pPr/>
      <w:r>
        <w:rPr/>
        <w:t xml:space="preserve">9. Շահառուները վարկավորման նպատակով Գյուղատնտեսական հումքի մթերումների (գնումների) նպատակով տրամադրվող վարկերի տոկոսադրույքների սուբսիդավորման ծրագրով սահմանված ընթացակարգով դիմում են ՖԿ-ին</w:t>
      </w:r>
    </w:p>
    <w:p>
      <w:pPr/>
      <w:r>
        <w:rPr/>
        <w:t xml:space="preserve">10. ՖԿ-ն իրականացնում է շահառուների վարկունակության գնահատում և կայացնում նախնական որոշում՝ Գյուղատնտեսական հումքի մթերումների (գնումների) նպատակով տրամադրվող վարկերի տոկոսադրույքների սուբսիդավորման ծրագրի ներքո վարկ տրամադրելու վերաբերյալ (վարկի նախահաստատում):</w:t>
      </w:r>
    </w:p>
    <w:p>
      <w:pPr/>
      <w:r>
        <w:rPr/>
        <w:t xml:space="preserve">11. Եթե շահառուի կողմից հայցվող վարկի գումարը գերազանցում է վերջինիս կողմից առաջարկվող գրավի առարկայի կամ բանկային երաշխիքի դիմաց ՖԿ-ի կողմից տրամադրվող վարկի գումարին, ապա շահառուն հայցվող վարկի գումարի չբավարարող մասի համար բյուջետային երաշխիք ստանալու նպատակով կարող է դիմել Հայաստանի Հանրապետության էկոնոմիկայի նախարարությանը՝ համաձայն N 1 ձևի։</w:t>
      </w:r>
    </w:p>
    <w:p>
      <w:pPr/>
      <w:r>
        <w:rPr/>
        <w:t xml:space="preserve">12. Դիմումին կից ներկայացվում են հետևյալ փաստաթղթերը՝</w:t>
      </w:r>
    </w:p>
    <w:p>
      <w:pPr/>
      <w:r>
        <w:rPr/>
        <w:t xml:space="preserve">1) տեղեկանք ՖԿ-ից՝ վարկի ապահովման միջոցի չբավարարող մասի և ՖԿ-ի կողմից գնահատված վարկի ապահովման միջոցի շուկայական արժեքի վերաբերյալ.</w:t>
      </w:r>
    </w:p>
    <w:p>
      <w:pPr/>
      <w:r>
        <w:rPr/>
        <w:t xml:space="preserve">2) Հայաստանի Հանրապետության պետական եկամուտների կոմիտեի կողմից տրամադրված տեղեկանք՝ 2024 թվականին արտահանված արտադրանքի տեսականու, ծավալների և ընդհանուր արժեքի մասին.</w:t>
      </w:r>
    </w:p>
    <w:p>
      <w:pPr/>
      <w:r>
        <w:rPr/>
        <w:t xml:space="preserve">3) հարկային մարմնի տեղեկատվական համակարգում առկա տվյալներին համապատասխան ներբեռնված և արտատպված հարկ վճարողի անձնական հաշվի քարտի քաղվածքը՝ դիմումի ներկայացման օրվան նախորդող աշխատանքային օրվա դրությամբ։</w:t>
      </w:r>
    </w:p>
    <w:p>
      <w:pPr/>
      <w:r>
        <w:rPr/>
        <w:t xml:space="preserve">4) ԱՌՔԱ վարկային բյուրոյից տեղեկություն՝ վարկային պատմության վերաբերյալ.</w:t>
      </w:r>
    </w:p>
    <w:p>
      <w:pPr/>
      <w:r>
        <w:rPr/>
        <w:t xml:space="preserve">5) տեղեկություն՝ նախորդ երկու տարվա տնտեսական գործունեության մասին՝ համաձայն N 2 ձևի․</w:t>
      </w:r>
    </w:p>
    <w:p>
      <w:pPr/>
      <w:r>
        <w:rPr/>
        <w:t xml:space="preserve">6) տեղեկություն շահառուից՝ «Բանկերի և բանկային գործունեության մասին» օրենքի համաձայն իր հետ փոխկապակցված իրավաբանական անձանց մասին:</w:t>
      </w:r>
    </w:p>
    <w:p>
      <w:pPr/>
      <w:r>
        <w:rPr/>
        <w:t xml:space="preserve">13. Եթե ներկայացված դիմումը թերի է կամ սույն կարգի 12-րդ կետում նշված փաստաթղթերն ամբողջական չեն, Հայաստանի Հանրապետության էկոնոմիկայի նախարարությունը երկու աշխատանքային օրվա ընթացքում էլեկտրոնային եղանակով տեղեկացնում է դիմումատուին՝ թերությունները և անհամապատասխանությունները վերացնելու և նոր դիմում ներկայացնելու մասին։ Դիմումատուն պարտավոր է սույն կետով նախատեսված կարգով տեղեկացումն ստանալու պահից երկու աշխատանքային օրվա ընթացքում ներկայացնել սույն կարգի պահանջներին համապատասխան նոր դիմում։</w:t>
      </w:r>
    </w:p>
    <w:p>
      <w:pPr/>
      <w:r>
        <w:rPr/>
        <w:t xml:space="preserve">14. Սույն կարգի պահանջներին համապատասխան դիմումն ստանալուց հետո Հայաստանի Հանրապետության էկոնոմիկայի նախարարությունը ԳՖԿ-ի հետ համատեղ 3 աշխատանքային օրվա ընթացքում ուսումնասիրում է այն և</w:t>
      </w:r>
    </w:p>
    <w:p>
      <w:pPr/>
      <w:r>
        <w:rPr/>
        <w:t xml:space="preserve">1) ոչ հիմնավոր ճանաչելու դեպքում գրությամբ պատասխանում է դիմումատուին` նշելով դիմումի մերժման պատճառները.</w:t>
      </w:r>
    </w:p>
    <w:p>
      <w:pPr/>
      <w:r>
        <w:rPr/>
        <w:t xml:space="preserve">2) հիմնավոր ճանաչելու դեպքում Հայաստանի Հանրապետության էկոնոմիկայի նախարարությունը շահառուին բյուջետային երաշխիք տրամադրելու մասին իր առաջարկություններով միջնորդություն է ներկայացնում Հայաստանի Հանրապետության ֆինանսների նախարարություն՝ կցելով շահառուի կողմից ներկայացված փաստաթղթերը և դրա մասին գրությամբ տեղեկացնում է դիմումատուին։</w:t>
      </w:r>
    </w:p>
    <w:p>
      <w:pPr/>
      <w:r>
        <w:rPr/>
        <w:t xml:space="preserve">15. Դիմումը մերժվում է, եթե՝</w:t>
      </w:r>
    </w:p>
    <w:p>
      <w:pPr/>
      <w:r>
        <w:rPr/>
        <w:t xml:space="preserve">1) ներկայացված փաստաթղթերում առկա են ոչ հավաստի տվյալներ.</w:t>
      </w:r>
    </w:p>
    <w:p>
      <w:pPr/>
      <w:r>
        <w:rPr/>
        <w:t xml:space="preserve">2) շահառուն չունի սույն կարգի 2-րդ կետի 2-րդ ենթակետով սահմանված դրական վարկային պատմություն կամ ունի ժամկետանց հարկային պարտավորություն.</w:t>
      </w:r>
    </w:p>
    <w:p>
      <w:pPr/>
      <w:r>
        <w:rPr/>
        <w:t xml:space="preserve">3) պահանջվող բյուջետային երաշխիքի գումարի չափը գերազանցում է ՖԿ-ի կողմից տրամադրվող վարկի գումարի 50%-ը կամ 2024 թվականին արտահանված արտադրանքի արժեքի չափը.</w:t>
      </w:r>
    </w:p>
    <w:p>
      <w:pPr/>
      <w:r>
        <w:rPr/>
        <w:t xml:space="preserve">4) շահառուի ու «Բանկերի և բանկային գործունեության մասին» օրենքի համաձայն իր հետ փոխկապակցված իրավաբանական անձանց 2022, 2023, 2024 թվականներին տրամադրված և 2025 թվականին տրամադրվող բյուջետային երաշխիքների ընդհանուր գումարը գերազանցում է 5.0 մլրդ դրամը․</w:t>
      </w:r>
    </w:p>
    <w:p>
      <w:pPr/>
      <w:r>
        <w:rPr/>
        <w:t xml:space="preserve">5) դիմումատուի կողմից սույն կարգի 13-րդ կետով նախատեսված ժամկետում սույն կարգի պահանջներին համապատասխան նոր դիմում չներկայացնելու դեպքում։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III. ՀԱՅԱՍՏԱՆԻ ՀԱՆՐԱՊԵՏՈՒԹՅԱՆ ՖԻՆԱՆՍՆԵՐԻ ՆԱԽԱՐԱՐՈՒԹՅՈՒՆՈՒՄ ՆԵՐԿԱՅԱՑՎԱԾ ՄԻՋՆՈՐԴՈՒԹՅՈՒՆՆԵՐԻ ՔՆՆԱՐԿՈՒՄԸ ԵՎ ԲՅՈՒՋԵՏԱՅԻՆ ԵՐԱՇԽԻՔԻ ՏՐԱՄԱԴՐՈՒՄԸ</w:t>
      </w:r>
    </w:p>
    <w:p>
      <w:pPr/>
      <w:r>
        <w:rPr/>
        <w:t xml:space="preserve"> </w:t>
      </w:r>
    </w:p>
    <w:p>
      <w:pPr/>
      <w:r>
        <w:rPr/>
        <w:t xml:space="preserve">16. Շահառուի կողմից հայցվող վարկի գծով ՖԿ-ի կողմից տրամադրվող վարկի գումարը չբավարարող մասի համար բյուջետային երաշխիք տրամադրելու մասին միջնորդությունն ստանալուց հետո Հայաստանի Հանրապետության ֆինանսների նախարարությունը 3 աշխատանքային օրվա ընթացքում քննարկում է այն և</w:t>
      </w:r>
    </w:p>
    <w:p>
      <w:pPr/>
      <w:r>
        <w:rPr/>
        <w:t xml:space="preserve">1) միջնորդությունը ոչ հիմնավոր ճանաչելու դեպքում այն գրությամբ վերադարձնում է Հայաստանի Հանրապետության էկոնոմիկայի նախարարությանը՝ նշելով միջնորդությունը մերժելու պատճառները.</w:t>
      </w:r>
    </w:p>
    <w:p>
      <w:pPr/>
      <w:r>
        <w:rPr/>
        <w:t xml:space="preserve">2) միջնորդությունը հիմնավոր ճանաչելու դեպքում՝ 3-օրյա ժամկետում շահառուի հետ կնքում է բյուջետային երաշխիքի տրամադրման մասին պայմանագիր և վերջինիս տրամադրում թողարկված բյուջետային երաշխիքի բնօրինակը՝ դրա մասին ծանուցելով Հայաստանի Հանրապետության էկոնոմիկայի նախարարությանը:</w:t>
      </w:r>
    </w:p>
    <w:p>
      <w:pPr/>
      <w:r>
        <w:rPr/>
        <w:t xml:space="preserve">17. Անհրաժեշտության դեպքում Հայաստանի Հանրապետության ֆինանսների նախարարությունը կարող է պահանջել լրացուցիչ տեղեկություն՝</w:t>
      </w:r>
    </w:p>
    <w:p>
      <w:pPr/>
      <w:r>
        <w:rPr/>
        <w:t xml:space="preserve">1) շահառուից՝ առկա վարկային պարտավորությունների կառուցվածքի վերաբերյալ,</w:t>
      </w:r>
    </w:p>
    <w:p>
      <w:pPr/>
      <w:r>
        <w:rPr/>
        <w:t xml:space="preserve">2) ՖԿ-ից՝ «Բանկերի և բանկային գործունեության մասին» օրենքի համաձայն շահառուի հետ փոխկապակցված իրավաբանական անձանց վերաբերյալ:</w:t>
      </w:r>
    </w:p>
    <w:p>
      <w:pPr/>
      <w:r>
        <w:rPr/>
        <w:t xml:space="preserve">18. Միջնորդությունը մերժվում է, եթե սույն կարգի 12-րդ կետում նշված փաստաթղթերն ամբողջական չեն կամ դրանցում նշված տվյալները չեն համապատասխանում սույն կարգով նախատեսված պահանջներին:</w:t>
      </w:r>
    </w:p>
    <w:p>
      <w:pPr/>
      <w:r>
        <w:rPr/>
        <w:t xml:space="preserve"> </w:t>
      </w:r>
    </w:p>
    <w:p>
      <w:pPr/>
      <w:br/>
      <w:r>
        <w:rPr>
          <w:b w:val="1"/>
          <w:bCs w:val="1"/>
          <w:u w:val="single"/>
        </w:rPr>
        <w:t xml:space="preserve"> </w:t>
      </w:r>
    </w:p>
    <w:p>
      <w:pPr>
        <w:jc w:val="end"/>
      </w:pPr>
      <w:r>
        <w:rPr>
          <w:b w:val="1"/>
          <w:bCs w:val="1"/>
          <w:u w:val="single"/>
        </w:rPr>
        <w:t xml:space="preserve">Ձև N 1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ԷԿՈՆՈՄԻԿԱՅԻ ՆԱԽԱՐԱՐՈՒԹՅՈՒՆ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………………………………………………………...............………………………… ....-ԻՑ</w:t>
      </w:r>
    </w:p>
    <w:p>
      <w:pPr>
        <w:jc w:val="center"/>
      </w:pPr>
      <w:r>
        <w:rPr/>
        <w:t xml:space="preserve">(նշել կազմակերպության կամ անհատ ձեռնարկատիրոջ անվանումը, ՀՎՀՀ-ն, հեռախոսահամարը և էլեկտրոնային փոստի հասցեն)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Դ Ի Մ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ԳՐԱՎԻ ԱՊԱՀՈՎՄԱՆ ՄԻՋՈՑԻ ՉԲԱՎԱՐԱՐՈՂ ՄԱՍԻ ՉԱՓՈՎ ԲՅՈՒՋԵՏԱՅԻՆ ԵՐԱՇԽԻՔ ՏՐԱՄԱԴՐԵԼՈՒ ՄԱՍԻՆ</w:t>
      </w:r>
    </w:p>
    <w:p>
      <w:pPr/>
      <w:r>
        <w:rPr/>
        <w:t xml:space="preserve"> </w:t>
      </w:r>
    </w:p>
    <w:p>
      <w:pPr/>
      <w:r>
        <w:rPr/>
        <w:t xml:space="preserve">Խնդրում եմ ................................................................................…………………….-ին</w:t>
      </w:r>
    </w:p>
    <w:p>
      <w:pPr/>
      <w:r>
        <w:rPr/>
        <w:t xml:space="preserve">(նշել կազմակերպության կամ անհատ ձեռնարկատիրոջ անվանումը)</w:t>
      </w:r>
    </w:p>
    <w:p>
      <w:pPr/>
      <w:r>
        <w:rPr/>
        <w:t xml:space="preserve"> </w:t>
      </w:r>
    </w:p>
    <w:p>
      <w:pPr/>
      <w:r>
        <w:rPr/>
        <w:t xml:space="preserve">Գյուղատնտեսական հումքի մթերումների (գնումների) նպատակով տրամադրվող վարկերի տոկոսադրույքների սուբսիդավորման ծրագրի շրջանակներում</w:t>
      </w:r>
    </w:p>
    <w:p>
      <w:pPr/>
      <w:r>
        <w:rPr/>
        <w:t xml:space="preserve">........................................................-ից ............................. (...............................) դրամ</w:t>
      </w:r>
    </w:p>
    <w:p>
      <w:pPr/>
      <w:r>
        <w:rPr/>
        <w:t xml:space="preserve">(նշել ֆինանսական կառույցի անվանումը)    (նշել գումարի չափը թվերով)   (նշել գումարի չափը տառերով)</w:t>
      </w:r>
    </w:p>
    <w:p>
      <w:pPr/>
      <w:r>
        <w:rPr/>
        <w:t xml:space="preserve"> </w:t>
      </w:r>
    </w:p>
    <w:p>
      <w:pPr/>
      <w:r>
        <w:rPr/>
        <w:t xml:space="preserve">վարկի ներգրավման նպատակով գրավի ապահովման չբավարարող .............................(..............................) դրամի չափով տրամադրել բյուջետային երաշխիք։</w:t>
      </w:r>
    </w:p>
    <w:p>
      <w:pPr/>
      <w:r>
        <w:rPr/>
        <w:t xml:space="preserve">(նշել գումարի չափը թվերով)  (նշել գումարի չափը տառերով)</w:t>
      </w:r>
    </w:p>
    <w:p>
      <w:pPr/>
      <w:r>
        <w:rPr/>
        <w:t xml:space="preserve"> Առդիր .... էջ։</w:t>
      </w:r>
    </w:p>
    <w:p>
      <w:pPr/>
      <w:r>
        <w:rPr/>
        <w:t xml:space="preserve"> </w:t>
      </w:r>
    </w:p>
    <w:p>
      <w:pPr/>
      <w:r>
        <w:rPr/>
        <w:t xml:space="preserve">Ստորագրող</w:t>
      </w:r>
    </w:p>
    <w:p>
      <w:pPr/>
      <w:r>
        <w:rPr/>
        <w:t xml:space="preserve"> </w:t>
      </w:r>
    </w:p>
    <w:tbl>
      <w:tblGrid>
        <w:gridCol w:w="4965" w:type="dxa"/>
        <w:gridCol w:w="4740" w:type="dxa"/>
      </w:tblGrid>
      <w:tblPr>
        <w:tblW w:w="9750" w:type="dxa"/>
        <w:tblLayout w:type="autofit"/>
      </w:tblPr>
      <w:tr>
        <w:trPr/>
        <w:tc>
          <w:tcPr>
            <w:tcW w:w="4965" w:type="dxa"/>
            <w:noWrap/>
          </w:tcPr>
          <w:p>
            <w:pPr/>
            <w:r>
              <w:rPr/>
              <w:t xml:space="preserve">.............................</w:t>
            </w:r>
          </w:p>
          <w:p>
            <w:pPr/>
            <w:r>
              <w:rPr/>
              <w:t xml:space="preserve">(պաշտոնը)</w:t>
            </w:r>
          </w:p>
        </w:tc>
        <w:tc>
          <w:tcPr>
            <w:tcW w:w="4740" w:type="dxa"/>
            <w:noWrap/>
          </w:tcPr>
          <w:p>
            <w:pPr/>
            <w:r>
              <w:rPr/>
              <w:t xml:space="preserve">…….........................</w:t>
            </w:r>
          </w:p>
          <w:p>
            <w:pPr/>
            <w:r>
              <w:rPr/>
              <w:t xml:space="preserve">(անունը, ազգանունը)</w:t>
            </w:r>
          </w:p>
        </w:tc>
      </w:tr>
    </w:tbl>
    <w:p>
      <w:pPr/>
      <w:r>
        <w:rPr/>
        <w:t xml:space="preserve">     ..................................</w:t>
      </w:r>
    </w:p>
    <w:p>
      <w:pPr/>
      <w:r>
        <w:rPr/>
        <w:t xml:space="preserve">(ստորագրությունը)</w:t>
      </w:r>
    </w:p>
    <w:p>
      <w:pPr/>
      <w:r>
        <w:rPr/>
        <w:t xml:space="preserve"> </w:t>
      </w:r>
    </w:p>
    <w:p>
      <w:pPr/>
      <w:r>
        <w:rPr/>
        <w:t xml:space="preserve">..... ..................... 2025թ.</w:t>
      </w:r>
    </w:p>
    <w:p>
      <w:pPr/>
      <w:r>
        <w:rPr/>
        <w:t xml:space="preserve"> </w:t>
      </w:r>
    </w:p>
    <w:p>
      <w:pPr/>
      <w:r>
        <w:rPr/>
        <w:t xml:space="preserve"> </w:t>
      </w:r>
      <w:br/>
      <w:r>
        <w:rPr>
          <w:b w:val="1"/>
          <w:bCs w:val="1"/>
          <w:u w:val="single"/>
        </w:rPr>
        <w:t xml:space="preserve"> </w:t>
      </w:r>
    </w:p>
    <w:p>
      <w:pPr>
        <w:jc w:val="end"/>
      </w:pPr>
      <w:r>
        <w:rPr>
          <w:b w:val="1"/>
          <w:bCs w:val="1"/>
          <w:u w:val="single"/>
        </w:rPr>
        <w:t xml:space="preserve">Ձև N 2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Տեղեկություն .................................... ............ տնտեսական գործունեության մասին</w:t>
      </w:r>
    </w:p>
    <w:p>
      <w:pPr>
        <w:jc w:val="both"/>
      </w:pPr>
      <w:r>
        <w:rPr/>
        <w:t xml:space="preserve">                  (նշել կազմակերպության կամ անհատ ձեռնարկատիրոջ անվանումը)</w:t>
      </w:r>
    </w:p>
    <w:p>
      <w:pPr>
        <w:jc w:val="center"/>
      </w:pPr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NN</w:t>
            </w:r>
          </w:p>
          <w:p>
            <w:pPr/>
            <w:r>
              <w:rPr/>
              <w:t xml:space="preserve">ը/կ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Ցուցանիշը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2023 թվական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2024 թվական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Արտադրանք (մլն դրամ)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Իրացում (մլն դրամ)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Արտահանում (մլն դրամ)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Արտահանման երկրներ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ԱԱՀ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Շահութահարկ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Եկամտային հարկ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Այլ հարկեր և տուրքեր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Ստորագրող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.............................</w:t>
            </w:r>
          </w:p>
          <w:p>
            <w:pPr/>
            <w:r>
              <w:rPr/>
              <w:t xml:space="preserve">(պաշտոնը)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…….........................</w:t>
            </w:r>
          </w:p>
          <w:p>
            <w:pPr/>
            <w:r>
              <w:rPr/>
              <w:t xml:space="preserve">(անունը, ազգանունը)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..................................</w:t>
      </w:r>
    </w:p>
    <w:p>
      <w:pPr/>
      <w:r>
        <w:rPr/>
        <w:t xml:space="preserve">(ստորագրությունը)</w:t>
      </w:r>
    </w:p>
    <w:p>
      <w:pPr/>
      <w:r>
        <w:rPr/>
        <w:t xml:space="preserve"> </w:t>
      </w:r>
    </w:p>
    <w:p>
      <w:pPr/>
      <w:r>
        <w:rPr/>
        <w:t xml:space="preserve">..... ..................... 2025թ.</w:t>
      </w:r>
    </w:p>
    <w:p>
      <w:pPr/>
      <w:r>
        <w:rPr/>
        <w:t xml:space="preserve"> </w:t>
      </w:r>
    </w:p>
    <w:p>
      <w:pPr/>
      <w:r>
        <w:rPr/>
        <w:t xml:space="preserve">Կ.Տ.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2026-04-02T10:55:10+04:00</dcterms:created>
  <dcterms:modified xsi:type="dcterms:W3CDTF">2026-04-02T10:55:10+04:00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