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««ՎԱՐՉԱՐԱՐՈՒԹՅԱՆ ՀԻՄՈՒՆՔՆԵՐԻ ԵՎ ՎԱՐՉԱԿԱՆ ՎԱՐՈՒՅԹԻ ՄԱՍԻՆ» ՕՐԵՆՔՈՒՄ ԼՐԱՑՈՒՄ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ՎԱՐՉԱՐԱՐՈՒԹՅԱՆ</w:t>
      </w:r>
      <w:r>
        <w:rPr/>
        <w:t xml:space="preserve"> </w:t>
      </w:r>
      <w:r>
        <w:rPr>
          <w:b w:val="1"/>
          <w:bCs w:val="1"/>
        </w:rPr>
        <w:t xml:space="preserve">ՀԻՄՈՒՆՔՆԵՐԻ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ՎԱՐՉԱԿԱՆ</w:t>
      </w:r>
      <w:r>
        <w:rPr/>
        <w:t xml:space="preserve"> </w:t>
      </w:r>
      <w:r>
        <w:rPr>
          <w:b w:val="1"/>
          <w:bCs w:val="1"/>
        </w:rPr>
        <w:t xml:space="preserve">ՎԱՐՈՒՅԹԻ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2004 թվականի փետրվարի 18-ի «Վարչարարության հիմունքների և վարչական վարույթի մասին» ՀՕ-41-Ն օրենքի 75-րդ հոդվածի 3-րդ մասը լրացնել հետևյալ բովանդակությամբ նոր նախադասությամբ.</w:t>
      </w:r>
    </w:p>
    <w:p>
      <w:pPr/>
      <w:r>
        <w:rPr/>
        <w:t xml:space="preserve">«Կառավարության որոշմամբ սահմանված դեպքերում պետական կառավարման համակարգի մարմին հանդիսացող վարչական մարմինը վարչական բողոքը քննարկելիս առաջնորդվում է նաև Կառավարության որոշմամբ հաստատված՝ պետական կառավարման համակարգի մարմինների կողմից վարչական բողոքների քննարկման մեթոդական ցուցումներով:»: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Եզրափակիչ մաս և անցումային դրույթ</w:t>
      </w:r>
    </w:p>
    <w:p>
      <w:pPr/>
      <w:r>
        <w:rPr/>
        <w:t xml:space="preserve">1. Սույն օրենքն ուժի մեջ մտնում պաշտոնական հրապարակման օրվան հաջորդող տասներորդ օրը:</w:t>
      </w:r>
    </w:p>
    <w:p>
      <w:pPr/>
      <w:r>
        <w:rPr/>
        <w:t xml:space="preserve">2. Սույն օրենքի 1-ին հոդվածով սահմանված որոշումն ընդունվում է սույն օրենքն ուժի մեջ մտնելուց հետո վեցամսյա ժամկետում: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2026-03-31T09:18:42+04:00</dcterms:created>
  <dcterms:modified xsi:type="dcterms:W3CDTF">2026-03-31T09:18:42+04:00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