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ԵՎ ՀԻՄՆԱԿԱՆ ԼԻՑԵՆԶԻԱՅԻ ՁԵՎԸ ՍԱՀՄԱՆԵԼՈՒ ՄԱՍԻՆ</w:t>
      </w:r>
      <w:bookmarkEnd w:id="0"/>
    </w:p>
    <w:p>
      <w:pPr>
        <w:jc w:val="end"/>
      </w:pPr>
      <w:r>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  ___________ 2025 թվականի N ____-Ն</w:t>
      </w:r>
    </w:p>
    <w:p>
      <w:pPr>
        <w:jc w:val="center"/>
      </w:pPr>
      <w:r>
        <w:rPr/>
        <w:t xml:space="preserve"> </w:t>
      </w:r>
    </w:p>
    <w:p>
      <w:pPr/>
      <w:r>
        <w:rPr>
          <w:b w:val="1"/>
          <w:bCs w:val="1"/>
        </w:rPr>
        <w:t xml:space="preserve"> </w:t>
      </w:r>
    </w:p>
    <w:p>
      <w:pPr/>
      <w:r>
        <w:rPr>
          <w:b w:val="1"/>
          <w:bCs w:val="1"/>
        </w:rPr>
        <w:t xml:space="preserve"> </w:t>
      </w:r>
    </w:p>
    <w:p>
      <w:pPr/>
      <w:r>
        <w:rPr>
          <w:b w:val="1"/>
          <w:bCs w:val="1"/>
        </w:rPr>
        <w:t xml:space="preserve">ՀԱՅԱՍՏԱՆԻ ՀԱՆՐԱՊԵՏՈՒԹՅՈՒՆ ՑԵՄԵՆՏԻ ՆԵՐՄՈՒԾՄԱՆ ԺԱՄԱՆԱԿԱՎՈՐ ՍԱՀՄԱՆԱՓԱԿՈՒՄ ԿԻՐԱՌԵԼՈՒ, ՆԵՐՄՈՒԾՄԱՆ ԼԻՑԵՆԶԱՎՈՐՄԱՆ ԸՆԹԱՑԱԿԱՐԳԸ ԵՎ ՀԻՄՆԱԿԱՆ ԼԻՑԵՆԶԻԱՅԻ ՁԵՎԸ ՍԱՀՄԱՆԵԼՈՒ ՄԱՍԻՆ</w:t>
      </w:r>
    </w:p>
    <w:p>
      <w:pPr/>
      <w:r>
        <w:rPr/>
        <w:t xml:space="preserve"> </w:t>
      </w:r>
    </w:p>
    <w:p>
      <w:pPr/>
      <w:r>
        <w:rPr/>
        <w:t xml:space="preserve">Հիմք ընդունելով «Առևտրի և ծառայությունների մասին»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ներմուծումն իրականացվում է հիմնական լիցենզիաների հիման վրա.</w:t>
      </w:r>
    </w:p>
    <w:p>
      <w:pPr/>
      <w:r>
        <w:rPr/>
        <w:t xml:space="preserve">2) սույն կետի 1-ին ենթակետում նշված ապրանքների ներմուծման նպատակով հիմնական լիցենզիան տրամադրվում է յուրաքանչյուր մինչև հարյուր տոննայի համար:</w:t>
      </w:r>
    </w:p>
    <w:p>
      <w:pPr>
        <w:numPr>
          <w:ilvl w:val="0"/>
          <w:numId w:val="3"/>
        </w:numPr>
      </w:pPr>
      <w:r>
        <w:rPr/>
        <w:t xml:space="preserve">Հիմնական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համաձայն N 1 հավելվածի.</w:t>
      </w:r>
    </w:p>
    <w:p>
      <w:pPr/>
      <w:r>
        <w:rPr/>
        <w:t xml:space="preserve">2) ԵԱՏՄ ԱՏԳ ԱԱ 2523 (բացառությամբ 2523100000, 2523210000) ապրանքային դիրքի ծածկագրին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հիմնական լիցենզիայի ձևը` համաձայն N 2 հավելվածի։</w:t>
      </w:r>
    </w:p>
    <w:p>
      <w:pPr>
        <w:numPr>
          <w:ilvl w:val="0"/>
          <w:numId w:val="4"/>
        </w:numPr>
      </w:pPr>
      <w:r>
        <w:rPr/>
        <w:t xml:space="preserve">Սույն որոշումն ուժի մեջ է մտնում 2025 թվականի հուլիսի 21-ից և գործում է մինչև 2026 թվականի հունվարի 21-ը։</w:t>
      </w:r>
    </w:p>
    <w:p>
      <w:pPr/>
      <w:r>
        <w:rPr/>
        <w:t xml:space="preserve"> </w:t>
      </w:r>
    </w:p>
    <w:p>
      <w:pPr>
        <w:jc w:val="end"/>
      </w:pPr>
      <w:r>
        <w:rPr/>
        <w:t xml:space="preserve">Հավելված N 1</w:t>
      </w:r>
    </w:p>
    <w:p>
      <w:pPr>
        <w:jc w:val="end"/>
      </w:pPr>
      <w:r>
        <w:rPr/>
        <w:t xml:space="preserve">ՀՀ կառավարության 2025 թվականի</w:t>
      </w:r>
    </w:p>
    <w:p>
      <w:pPr>
        <w:jc w:val="end"/>
      </w:pPr>
      <w:r>
        <w:rPr/>
        <w:t xml:space="preserve">__________  ___  N   -Ն որոշման</w:t>
      </w:r>
    </w:p>
    <w:p>
      <w:pPr/>
      <w:r>
        <w:rPr/>
        <w:t xml:space="preserve"> </w:t>
      </w:r>
    </w:p>
    <w:p>
      <w:pPr/>
      <w:r>
        <w:rPr/>
        <w:t xml:space="preserve"> </w:t>
      </w:r>
    </w:p>
    <w:p>
      <w:pPr>
        <w:jc w:val="center"/>
      </w:pPr>
      <w:r>
        <w:rPr>
          <w:b w:val="1"/>
          <w:bCs w:val="1"/>
        </w:rPr>
        <w:t xml:space="preserve">Ը</w:t>
      </w:r>
      <w:r>
        <w:rPr>
          <w:b w:val="1"/>
          <w:bCs w:val="1"/>
        </w:rPr>
        <w:t xml:space="preserve"> </w:t>
      </w:r>
      <w:r>
        <w:rPr>
          <w:b w:val="1"/>
          <w:bCs w:val="1"/>
        </w:rPr>
        <w:t xml:space="preserve">Ն</w:t>
      </w:r>
      <w:r>
        <w:rPr/>
        <w:t xml:space="preserve"> </w:t>
      </w:r>
      <w:r>
        <w:rPr>
          <w:b w:val="1"/>
          <w:bCs w:val="1"/>
        </w:rPr>
        <w:t xml:space="preserve">Թ</w:t>
      </w:r>
      <w:r>
        <w:rPr/>
        <w:t xml:space="preserve"> </w:t>
      </w:r>
      <w:r>
        <w:rPr>
          <w:b w:val="1"/>
          <w:bCs w:val="1"/>
        </w:rPr>
        <w:t xml:space="preserve">Ա</w:t>
      </w:r>
      <w:r>
        <w:rPr/>
        <w:t xml:space="preserve"> </w:t>
      </w:r>
      <w:r>
        <w:rPr>
          <w:b w:val="1"/>
          <w:bCs w:val="1"/>
        </w:rPr>
        <w:t xml:space="preserve">Ց</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jc w:val="center"/>
      </w:pPr>
      <w:r>
        <w:rPr/>
        <w:t xml:space="preserve"> </w:t>
      </w:r>
    </w:p>
    <w:p>
      <w:pPr>
        <w:jc w:val="center"/>
      </w:pPr>
      <w:r>
        <w:rPr>
          <w:b w:val="1"/>
          <w:bCs w:val="1"/>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r>
        <w:rPr/>
        <w:t xml:space="preserve"> </w:t>
      </w:r>
    </w:p>
    <w:p>
      <w:pPr>
        <w:numPr>
          <w:ilvl w:val="0"/>
          <w:numId w:val="5"/>
        </w:numPr>
      </w:pPr>
      <w:r>
        <w:rPr>
          <w:b w:val="1"/>
          <w:bCs w:val="1"/>
        </w:rPr>
        <w:t xml:space="preserve"> ԸՆԴՀԱՆՈՒՐ ԴՐՈՒՅԹՆԵՐ</w:t>
      </w:r>
    </w:p>
    <w:p>
      <w:pPr/>
      <w:r>
        <w:rPr/>
        <w:t xml:space="preserve"> </w:t>
      </w:r>
    </w:p>
    <w:p>
      <w:pPr>
        <w:numPr>
          <w:ilvl w:val="0"/>
          <w:numId w:val="6"/>
        </w:numPr>
      </w:pPr>
      <w:r>
        <w:rPr/>
        <w:t xml:space="preserve">ԵԱՏՄ ԱՏԳ ԱԱ 2523 (բացառությամբ ԱՏԳ ԱԱ 2523100000, 2523210000)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7"/>
        </w:numPr>
      </w:pPr>
      <w:r>
        <w:rPr>
          <w:b w:val="1"/>
          <w:bCs w:val="1"/>
        </w:rPr>
        <w:t xml:space="preserve"> ՀԻՄՆԱԿԱՆ ՀԱՍԿԱՑՈՒԹՅՈՒՆՆԵՐԸ</w:t>
      </w:r>
    </w:p>
    <w:p>
      <w:pPr/>
      <w:r>
        <w:rPr/>
        <w:t xml:space="preserve"> </w:t>
      </w:r>
    </w:p>
    <w:p>
      <w:pPr>
        <w:numPr>
          <w:ilvl w:val="0"/>
          <w:numId w:val="8"/>
        </w:numPr>
      </w:pPr>
      <w:r>
        <w:rPr/>
        <w:t xml:space="preserve">Սույն ընթացակարգում օգտագործվում են հետևյալ հասկացությունները՝</w:t>
      </w:r>
    </w:p>
    <w:p>
      <w:pPr/>
      <w:r>
        <w:rPr/>
        <w:t xml:space="preserve">1) հիմնական լիցենզիա՝ լիցենզիա, որն արտաքին առևտրային գործունեության մասնակցին իրավունք է տալիս լիցենզավորման ենթակա ցեմենտ ներմուծելու համար՝ լիցենզիայով նախատեսված քանակով.</w:t>
      </w:r>
    </w:p>
    <w:p>
      <w:pPr/>
      <w:r>
        <w:rPr/>
        <w:t xml:space="preserve">2) ապրանք` ԵԱՏՄ ԱՏԳ ԱԱ 2523 (բացառությամբ ԱՏԳ ԱԱ 2523100000, 2523210000) ապրանքային դիրքի ծածկագրերին դասվող ապրանքներ.</w:t>
      </w:r>
    </w:p>
    <w:p>
      <w:pPr/>
      <w:r>
        <w:rPr/>
        <w:t xml:space="preserve">3) արտաքին տնտեսական գործունեության մասնակից`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կարգով գրանցված կամ հաշվառված իրավաբանական անձ կամ անհատ ձեռնարկատեր.</w:t>
      </w:r>
    </w:p>
    <w:p>
      <w:pPr/>
      <w:r>
        <w:rPr/>
        <w:t xml:space="preserve">4) հայտատու` արտաքին տնտեսական գործունեության մասնակից, որը լիազոր մարմին է ներկայացնում փաստաթղթեր՝ հիմնական լիցենզիա ստանալու նպատակով:</w:t>
      </w:r>
    </w:p>
    <w:p>
      <w:pPr/>
      <w:r>
        <w:rPr/>
        <w:t xml:space="preserve"> </w:t>
      </w:r>
    </w:p>
    <w:p>
      <w:pPr/>
      <w:r>
        <w:rPr/>
        <w:t xml:space="preserve"> </w:t>
      </w:r>
    </w:p>
    <w:p>
      <w:pPr>
        <w:numPr>
          <w:ilvl w:val="0"/>
          <w:numId w:val="9"/>
        </w:numPr>
      </w:pPr>
      <w:r>
        <w:rPr>
          <w:b w:val="1"/>
          <w:bCs w:val="1"/>
        </w:rPr>
        <w:t xml:space="preserve"> ՀԻՄՆԱԿԱՆ ԼԻՑԵՆԶԻԱ ՍՏԱՆԱԼՈՒ ՀԱՄԱՐ ԱՆՀՐԱԺԵՇՏ ՓԱՍՏԱԹՂԹԵՐԸ</w:t>
      </w:r>
    </w:p>
    <w:p>
      <w:pPr/>
      <w:r>
        <w:rPr/>
        <w:t xml:space="preserve"> </w:t>
      </w:r>
    </w:p>
    <w:p>
      <w:pPr>
        <w:numPr>
          <w:ilvl w:val="0"/>
          <w:numId w:val="10"/>
        </w:numPr>
      </w:pPr>
      <w:r>
        <w:rPr/>
        <w:t xml:space="preserve">Հիմնական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հարկ վճարողի հաշվառման համարը, էլեկտրոնային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numPr>
          <w:ilvl w:val="0"/>
          <w:numId w:val="11"/>
        </w:numPr>
      </w:pPr>
      <w:r>
        <w:rPr/>
        <w:t xml:space="preserve">Հիմնական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1"/>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լիազոր մարմնի ղեկավարի հրամանի հիման վրա տրամադրվում է հիմնական լիցենզիա կամ մերժվում է հիմնական լիցենզիայի տրամադրումը:</w:t>
      </w:r>
    </w:p>
    <w:p>
      <w:pPr>
        <w:numPr>
          <w:ilvl w:val="0"/>
          <w:numId w:val="11"/>
        </w:numPr>
      </w:pPr>
      <w:r>
        <w:rPr/>
        <w:t xml:space="preserve">Հիմնական լիցենզիան տրամադրվում է յուրաքանչյուր մինչև հարյուր տոննայի համար՝ համաձայն N 2 հավելվածի:</w:t>
      </w:r>
    </w:p>
    <w:p>
      <w:pPr>
        <w:numPr>
          <w:ilvl w:val="0"/>
          <w:numId w:val="11"/>
        </w:numPr>
      </w:pPr>
      <w:r>
        <w:rPr/>
        <w:t xml:space="preserve">Հայտի և հիմնական լիցենզիայի 5-րդ և 6-րդ տողերում կարող են նշվել մեկից ավելի երկրներ։</w:t>
      </w:r>
    </w:p>
    <w:p>
      <w:pPr>
        <w:numPr>
          <w:ilvl w:val="0"/>
          <w:numId w:val="11"/>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1"/>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հիմնական լիցենզիայի տրամադրման ժամկետը երկարաձգվում է ևս մինչև 2 աշխատանքային օրով։</w:t>
      </w:r>
    </w:p>
    <w:p>
      <w:pPr>
        <w:numPr>
          <w:ilvl w:val="0"/>
          <w:numId w:val="11"/>
        </w:numPr>
      </w:pPr>
      <w:r>
        <w:rPr/>
        <w:t xml:space="preserve">Հիմնական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1"/>
        </w:numPr>
      </w:pPr>
      <w:r>
        <w:rPr/>
        <w:t xml:space="preserve">Հիմնական լիցենզիայի գործողության ժամկետի ավարտ է համարվում սույն որոշման 4-րդ կետով սահմանված ժամկետի ավարտը:</w:t>
      </w:r>
    </w:p>
    <w:p>
      <w:pPr>
        <w:numPr>
          <w:ilvl w:val="0"/>
          <w:numId w:val="11"/>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հիմնական լիցենզիայում փոփոխություն կատարելու նպատակով։</w:t>
      </w:r>
    </w:p>
    <w:p>
      <w:pPr>
        <w:numPr>
          <w:ilvl w:val="0"/>
          <w:numId w:val="11"/>
        </w:numPr>
      </w:pPr>
      <w:r>
        <w:rPr/>
        <w:t xml:space="preserve">Հիմնական լիցենզիայի կորստի դեպքում լիազոր մարմինը, հայտատուի գրավոր դիմումի հիման վրա, տրամադրում է հիմնական լիցենզիայի կրկնօրինակը, որը պարունակում է «Կրկնօրինակ» գրառումը։ Դիմումը, որով պարզաբանվում են հիմնական լիցենզիայի կորստի պատճառները և հանգամանքները, շարադրվում է ազատ ձևով։</w:t>
      </w:r>
    </w:p>
    <w:p>
      <w:pPr>
        <w:numPr>
          <w:ilvl w:val="0"/>
          <w:numId w:val="11"/>
        </w:numPr>
      </w:pPr>
      <w:r>
        <w:rPr/>
        <w:t xml:space="preserve">Հիմնական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r>
        <w:rPr>
          <w:b w:val="1"/>
          <w:bCs w:val="1"/>
          <w:u w:val="single"/>
        </w:rPr>
        <w:t xml:space="preserve"> </w:t>
      </w:r>
    </w:p>
    <w:p>
      <w:pPr>
        <w:jc w:val="end"/>
      </w:pPr>
      <w:r>
        <w:rPr>
          <w:b w:val="1"/>
          <w:bCs w:val="1"/>
          <w:u w:val="single"/>
        </w:rPr>
        <w:t xml:space="preserve">Ձև N 1</w:t>
      </w:r>
    </w:p>
    <w:p>
      <w:pPr/>
      <w:r>
        <w:rPr/>
        <w:t xml:space="preserve"> </w:t>
      </w:r>
    </w:p>
    <w:p>
      <w:pPr>
        <w:jc w:val="center"/>
      </w:pPr>
      <w:r>
        <w:rPr>
          <w:b w:val="1"/>
          <w:bCs w:val="1"/>
        </w:rPr>
        <w:t xml:space="preserve">Հ Ա Յ Տ</w:t>
      </w:r>
    </w:p>
    <w:p>
      <w:pPr>
        <w:jc w:val="center"/>
      </w:pPr>
      <w:r>
        <w:rPr/>
        <w:t xml:space="preserve"> </w:t>
      </w:r>
    </w:p>
    <w:p>
      <w:pPr>
        <w:jc w:val="center"/>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ՀԻՄՆԱԿԱՆ ԼԻՑԵՆԶԻԱ ՍՏԱՆԱԼՈՒ ՄԱՍԻՆ</w:t>
      </w:r>
    </w:p>
    <w:p>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Հիմնական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 ծածկագրի</w:t>
            </w:r>
          </w:p>
        </w:tc>
      </w:tr>
      <w:tr>
        <w:trPr/>
        <w:tc>
          <w:tcPr>
            <w:tcW w:w="0" w:type="dxa"/>
            <w:gridSpan w:val="2"/>
            <w:noWrap/>
          </w:tcPr>
          <w:p>
            <w:pPr/>
            <w:r>
              <w:rPr/>
              <w:t xml:space="preserve">10. Լրացուցիչ տեղեկատվություն (անհրաժեշտության դեպքում)</w:t>
            </w:r>
          </w:p>
        </w:tc>
      </w:tr>
      <w:tr>
        <w:trPr/>
        <w:tc>
          <w:tcPr>
            <w:tcW w:w="0" w:type="dxa"/>
            <w:noWrap/>
          </w:tcPr>
          <w:p>
            <w:pPr/>
            <w:r>
              <w:rPr/>
              <w:t xml:space="preserve">11. Հիմնական լիցենզիա տալու հիմքը</w:t>
            </w:r>
          </w:p>
        </w:tc>
        <w:tc>
          <w:tcPr>
            <w:tcW w:w="0" w:type="dxa"/>
            <w:noWrap/>
          </w:tcPr>
          <w:p>
            <w:pPr/>
            <w:r>
              <w:rPr/>
              <w:t xml:space="preserve">12. Հայտատուի լիազորված անձ</w:t>
            </w:r>
          </w:p>
          <w:p>
            <w:pPr/>
            <w:r>
              <w:rPr/>
              <w:t xml:space="preserve">Անունը, հայրանունը, ազգանունը Պաշտոնը</w:t>
            </w:r>
          </w:p>
          <w:p>
            <w:pPr/>
            <w:r>
              <w:rPr/>
              <w:t xml:space="preserve">Հեռախոսահամարը</w:t>
            </w:r>
          </w:p>
          <w:p>
            <w:pPr/>
            <w:r>
              <w:rPr/>
              <w:t xml:space="preserve">Ստորագրությունը</w:t>
            </w:r>
          </w:p>
          <w:p>
            <w:pPr/>
            <w:r>
              <w:rPr/>
              <w:t xml:space="preserve">_ __________ 202 __ թ.</w:t>
            </w:r>
          </w:p>
        </w:tc>
      </w:tr>
    </w:tbl>
    <w:p>
      <w:pPr>
        <w:jc w:val="end"/>
      </w:pPr>
      <w:r>
        <w:rPr>
          <w:b w:val="1"/>
          <w:bCs w:val="1"/>
        </w:rPr>
        <w:t xml:space="preserve">Հավելված N 2</w:t>
      </w:r>
    </w:p>
    <w:p>
      <w:pPr>
        <w:jc w:val="end"/>
      </w:pPr>
      <w:r>
        <w:rPr>
          <w:b w:val="1"/>
          <w:bCs w:val="1"/>
        </w:rPr>
        <w:t xml:space="preserve">ՀՀ կառավարության 2025 թվականի</w:t>
      </w:r>
    </w:p>
    <w:p>
      <w:pPr>
        <w:jc w:val="end"/>
      </w:pPr>
      <w:r>
        <w:rPr>
          <w:b w:val="1"/>
          <w:bCs w:val="1"/>
        </w:rPr>
        <w:t xml:space="preserve">________ ___ N     -Ն որոշման</w:t>
      </w:r>
    </w:p>
    <w:p>
      <w:pPr>
        <w:jc w:val="end"/>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 Ի Մ Ն Ա Կ Ա Ն  </w:t>
      </w:r>
      <w:r>
        <w:rPr>
          <w:b w:val="1"/>
          <w:bCs w:val="1"/>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jc w:val="center"/>
      </w:pPr>
      <w:r>
        <w:rPr/>
        <w:t xml:space="preserve"> </w:t>
      </w:r>
    </w:p>
    <w:p>
      <w:pPr>
        <w:jc w:val="center"/>
      </w:pPr>
      <w:r>
        <w:rPr>
          <w:b w:val="1"/>
          <w:bCs w:val="1"/>
        </w:rPr>
        <w:t xml:space="preserve">ԵԱՏՄ ԱՏԳ ԱԱ 2523 (ԲԱՑԱՌՈՒԹՅԱՄԲ 2523100000, 2523210000)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w:t>
      </w:r>
    </w:p>
    <w:p>
      <w:pPr>
        <w:jc w:val="center"/>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Հիմնական լիցենզիա N</w:t>
            </w:r>
          </w:p>
        </w:tc>
        <w:tc>
          <w:tcPr>
            <w:tcW w:w="0" w:type="dxa"/>
            <w:noWrap/>
          </w:tcPr>
          <w:p>
            <w:pPr/>
            <w:r>
              <w:rPr/>
              <w:t xml:space="preserve">2. Գործողության ժամկետը</w:t>
            </w:r>
          </w:p>
        </w:tc>
      </w:tr>
      <w:tr>
        <w:trPr/>
        <w:tc>
          <w:tcPr>
            <w:tcW w:w="0" w:type="dxa"/>
            <w:noWrap/>
          </w:tcPr>
          <w:p>
            <w:pPr/>
            <w:r>
              <w:rPr/>
              <w:t xml:space="preserve">3. Հիմնական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w:t>
            </w:r>
          </w:p>
          <w:p>
            <w:pPr/>
            <w:r>
              <w:rPr/>
              <w:t xml:space="preserve">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ԱԱ-ի</w:t>
            </w:r>
          </w:p>
        </w:tc>
      </w:tr>
      <w:tr>
        <w:trPr/>
        <w:tc>
          <w:tcPr>
            <w:tcW w:w="0" w:type="dxa"/>
            <w:gridSpan w:val="2"/>
            <w:noWrap/>
          </w:tcPr>
          <w:p>
            <w:pPr/>
            <w:r>
              <w:rPr/>
              <w:t xml:space="preserve">10. Լրացուցիչ տեղեկատվություն</w:t>
            </w:r>
          </w:p>
        </w:tc>
      </w:tr>
      <w:tr>
        <w:trPr/>
        <w:tc>
          <w:tcPr>
            <w:tcW w:w="0" w:type="dxa"/>
            <w:noWrap/>
          </w:tcPr>
          <w:p>
            <w:pPr/>
            <w:r>
              <w:rPr/>
              <w:t xml:space="preserve">11. Հիմնական լիցենզիան տալու հիմքը</w:t>
            </w:r>
          </w:p>
        </w:tc>
        <w:tc>
          <w:tcPr>
            <w:tcW w:w="0" w:type="dxa"/>
            <w:noWrap/>
          </w:tcPr>
          <w:p>
            <w:pPr/>
            <w:r>
              <w:rPr/>
              <w:t xml:space="preserve">12.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 ____________ 202 __ թ.</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8C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EFC3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27DEC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D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ED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B97C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83F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05943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B16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8CA9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2026-04-03T11:40:00+04:00</dcterms:created>
  <dcterms:modified xsi:type="dcterms:W3CDTF">2026-04-03T11:40:00+04:00</dcterms:modified>
</cp:coreProperties>
</file>

<file path=docProps/custom.xml><?xml version="1.0" encoding="utf-8"?>
<Properties xmlns="http://schemas.openxmlformats.org/officeDocument/2006/custom-properties" xmlns:vt="http://schemas.openxmlformats.org/officeDocument/2006/docPropsVTypes"/>
</file>