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2023 թվականի հոկտեմբերի 5-ի N 1699-Ն որոշման մեջ լրացումներ և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______ </w:t>
      </w:r>
      <w:r>
        <w:rPr>
          <w:b w:val="1"/>
          <w:bCs w:val="1"/>
        </w:rPr>
        <w:t xml:space="preserve">_____________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5 թվականի N _____-Ն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2023 ԹՎԱԿԱՆԻ ՀՈԿՏԵՄԲԵՐԻ 5-Ի N 1699-Ն ՈՐՈՇՄԱՆ ՄԵՋ ԼՐԱՑՈՒՄՆԵՐ ԵՎ ՓՈՓՈԽՈՒԹՅՈՒՆՆԵՐ  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2023 թվականի հոկտեմբերի 5-ի «Հայաստանի Հանրապետությունում «Արտաքին տնտեսական գործունեության ապրանքային անվանացանկ» (ԱՏԳ ԱԱ) դասակարգչի 2204, 2205, 2206 00, 2207 և 2208 ծածկագրերին դասվող ապրանքների՝ Եվրասիական տնտեսական միության շրջանակներում նույնականացման միջոցներով դրոշմավորման կանոնները հաստատելու մասին» N 1699-Ն որոշման մեջ (այսուհետ՝ որոշում) կատարել հետևյալ լրացումները և փոփոխությունները՝</w:t>
      </w:r>
    </w:p>
    <w:p>
      <w:pPr/>
      <w:r>
        <w:rPr/>
        <w:t xml:space="preserve">1) որոշման 1-ին կետում «ապրանքների» բառից հետո լրացնել «, իսկ 2026 թվականի հունվարի 1-ից՝  390-րդ հոդվածի 1-ին մասով սահմանված՝ ԱՏԳ ԱԱ 2208 ծածկագրին դասվող` մինչև 9 տոկոս ներառյալ սպիրտայնություն ունեցող՝ դրոշմապիտակներով դրոշմավորման ենթակա ապրանքների» բառերը,</w:t>
      </w:r>
    </w:p>
    <w:p>
      <w:pPr/>
      <w:r>
        <w:rPr/>
        <w:t xml:space="preserve">2) որոշման 2-րդ կետում «դրոշմավորված» բառից առաջ լրացնել «, իսկ 390-րդ հոդվածի 1-ին մասով սահմանված՝ ԱՏԳ ԱԱ 2208 ծածկագրին դասվող` մինչև 9 տոկոս ներառյալ սպիրտայնություն ունեցող՝ դրոշմապիտակներով դրոշմավորման ենթակա ապրանքները՝ մինչև 2025 թվականի դեկտեմբերի 31-ը ներառյալ ներկայացված՝ օրենսգրքի 393-րդ հոդվածի 4-րդ մասին համապատասխան՝ դրոշմապիտակների տրամադրման հայտերի (այսուհետ՝ հայտեր) հիման վրա ստացված դրոշմապիտակներով» բառերը,</w:t>
      </w:r>
    </w:p>
    <w:p>
      <w:pPr/>
      <w:r>
        <w:rPr/>
        <w:t xml:space="preserve">3) որոշման 3-րդ կետից հետո լրացնել հետևյալ բովանդակությամբ 3.1-ին կետ՝</w:t>
      </w:r>
    </w:p>
    <w:p>
      <w:pPr/>
      <w:r>
        <w:rPr/>
        <w:t xml:space="preserve">«3.1. Սահմանել, որ</w:t>
      </w:r>
    </w:p>
    <w:p>
      <w:pPr/>
      <w:r>
        <w:rPr/>
        <w:t xml:space="preserve">1)  2026 թվականի հունվարի 1-ից սկսած ներկայացված հայտերի հիման վրա ստացված դրոշմապիտակների վերաբերյալ ակցիզային դրոշմանիշերի և (կամ) դրոշմապիտակների վերագրման, հաշվառման էլեկտրոնային համակարգի միջոցով էլեկտրոնային եղանակով գրանցումներ ԱՏԳ ԱԱ 2208 ծածկագրին դասվող` մինչև 9 տոկոս ներառյալ սպիրտայնություն ունեցող ապրանքների համար չեն կարող կատարվել,</w:t>
      </w:r>
    </w:p>
    <w:p>
      <w:pPr/>
      <w:r>
        <w:rPr/>
        <w:t xml:space="preserve">2)  ԱՏԳ ԱԱ 2208 ծածկագրին դասվող` մինչև 9 տոկոս ներառյալ սպիրտայնություն ունեցող ապրանքների` նույնականացման միջոցներով դրոշմավորումը կարող է իրականացվել նաև մինչև 2026 թվականի հունվարի 1-ը,</w:t>
      </w:r>
    </w:p>
    <w:p>
      <w:pPr/>
      <w:r>
        <w:rPr/>
        <w:t xml:space="preserve">3)  սույն կետի 2-րդ ենթակետին համապատասխան՝ ԱՏԳ ԱԱ 2208 ծածկագրին դասվող` մինչև 9 տոկոս ներառյալ սպիրտայնություն ունեցող ապրանքների՝ նույնականացման միջոցներով դրոշմավորման դեպքում, հարկ վճարողի կողմից այդ ապրանքների դրոշմավորումը դրոշմապիտակներով չի կարող իրականացվել։»,</w:t>
      </w:r>
    </w:p>
    <w:p>
      <w:pPr/>
      <w:r>
        <w:rPr/>
        <w:t xml:space="preserve">4) որոշման 4-րդ կետից հետո լրացնել հետևյալ բովանդակությամբ 4.1-ին կետ՝</w:t>
      </w:r>
    </w:p>
    <w:p>
      <w:pPr/>
      <w:r>
        <w:rPr/>
        <w:t xml:space="preserve">«4.1. ԱՏԳ ԱԱ 2208 ծածկագրին դասվող` մինչև 9 տոկոս ներառյալ սպիրտայնություն ունեցող ապրանքներ ներմուծող կազմակերպությունները և անհատ ձեռնարկատերերը նույնականացման միջոցներով ապրանքների դրոշմավորումը կարող են իրականացնել «ներքին սպառման համար բացթողում» կամ «վերաներմուծում» մաքսային ընթացակարգերով ձևակերպելուց հետո՝ հետևյալ պահանջներին բավարարող պահեստում՝</w:t>
      </w:r>
    </w:p>
    <w:p>
      <w:pPr/>
      <w:r>
        <w:rPr/>
        <w:t xml:space="preserve">1) պահեստը պետք է լինի դրոշմավորման ենթակա ապրանքներ ներմուծող իրավաբանական անձանց և անհատ ձեռնարկատերերին սեփականության իրավունքով պատկանող կամ պայմանագրային հիմունքներով` վարձակալված կամ այլ պայմանագրային համաձայնությամբ օգտագործվող, ինչպես նաև դրոշմավորման ենթակա ապրանքների դրոշմավորումը կարող է կատարվել այլ իրավաբանական անձանց կամ անհատ ձեռնարկատերերի կողմից՝ դրոշմավորման ենթակա ապրանքների շրջանառություն իրականացնող իրավաբանական անձանց և անհատ ձեռնարկատերերի հետ կնքված համապատասխան ծառայությունների մատուցման պայմանագրի հիման վրա։</w:t>
      </w:r>
    </w:p>
    <w:p>
      <w:pPr/>
      <w:r>
        <w:rPr/>
        <w:t xml:space="preserve">2) պահեստում դրոշմավորման ենթակա ապրանքները պետք է գտնվեն գնորդի համար ոչ տեսանելի վայրում, տեղադրված չլինեն ցուցադրման համար։»,</w:t>
      </w:r>
    </w:p>
    <w:p>
      <w:pPr/>
      <w:r>
        <w:rPr/>
        <w:t xml:space="preserve">5) որոշման N 1 հավելվածի 1-ին կետում՝</w:t>
      </w:r>
    </w:p>
    <w:p>
      <w:pPr/>
      <w:r>
        <w:rPr/>
        <w:t xml:space="preserve">ա. «(այսուհետ՝ օրենսգիրք) 389-րդ հոդվածի 1-ին մասով» բառերը փոխարինել «389-րդ հոդվածի 1-ին մասով և 390-րդ հոդվածի 1-ին մասով» բառերով,</w:t>
      </w:r>
    </w:p>
    <w:p>
      <w:pPr/>
      <w:r>
        <w:rPr/>
        <w:t xml:space="preserve">բ.  2-րդ ենթակետից հանել «, ինչպես նաև ԱՏԳ ԱԱ 2208 ծածկագրին դասվող` մինչև 9 տոկոս ներառյալ սպիրտայնություն ունեցող սպիրտային խմիչքները» բառերը։</w:t>
      </w:r>
    </w:p>
    <w:p>
      <w:pPr/>
      <w:r>
        <w:rPr/>
        <w:t xml:space="preserve">2. Սույն որոշումն ուժի մեջ է մտնում 2026 թվականի հունվարի 1-ից: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2026-03-31T10:11:40+04:00</dcterms:created>
  <dcterms:modified xsi:type="dcterms:W3CDTF">2026-03-31T10:11:40+04:00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