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ՆՈՅԵՄԲԵՐԻ 21-Ի N 1667-Ն ՈՐՈՇՄԱՆ ՄԵՋ ՓՈՓՈԽՈՒԹՅՈՒՆՆԵՐ 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 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«___»  «__________________» 2025 թվականի N ___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ՆՈՅԵՄԲԵՐԻ 21-Ի N 1667-Ն ՈՐՈՇՄԱՆ ՄԵՋ ՓՈՓՈԽՈՒԹՅՈՒՆՆԵՐ  ԿԱՏԱՐԵԼՈՒ ՄԱՍԻՆ</w:t>
      </w:r>
    </w:p>
    <w:p>
      <w:pPr>
        <w:jc w:val="both"/>
      </w:pPr>
      <w:r>
        <w:rPr/>
        <w:t xml:space="preserve">Ղեկավարվելով «Սևանա լճի մասին» օրենքի 15-րդ հոդվածի 1-ին մասի «գ1» կետով և «Նորմատիվ իրավական ակտերի մասին»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նոյեմբերի 21-ի «Սևանա լճում ձկան և խեցգետնի պաշարների վերականգնման, պահպանման, վերարտադրման, ինչպես նաև դրանց պաշարների որոշման, ձկան և խեցգետնի արդյունագործական որսի քանակների, ձևերի և կազմակերպման կարգը սահմանելու մասին» N 1667-Ն որոշման՝</w:t>
      </w:r>
    </w:p>
    <w:p>
      <w:pPr>
        <w:numPr>
          <w:ilvl w:val="0"/>
          <w:numId w:val="3"/>
        </w:numPr>
      </w:pPr>
      <w:r>
        <w:rPr/>
        <w:t xml:space="preserve">N 1 հավելվածում 3-րդ կետի 2-րդ ենթակետը շարադրել հետևյալ խմբագրությամբ՝</w:t>
      </w:r>
    </w:p>
    <w:p>
      <w:pPr>
        <w:jc w:val="start"/>
      </w:pPr>
      <w:r>
        <w:rPr/>
        <w:t xml:space="preserve"> «2) Համաձայն «Սևանա լճի մասին» Հայաստանի Հանրապետության օրենքի 15-րդ հոդվածի 1-ին մասի «գ1» կետի յուրաքանչյուր տարի Կառավարության կողմից սահմանվում են Սևանա լճում ձկան և խեցգետնի արդյունագործական որսի չափաքանակները և ժամկետները, արդյունագործական որսի կազմակերպման պայմաններն ու պահանջները.»,</w:t>
      </w:r>
    </w:p>
    <w:p>
      <w:pPr>
        <w:numPr>
          <w:ilvl w:val="0"/>
          <w:numId w:val="4"/>
        </w:numPr>
      </w:pPr>
      <w:r>
        <w:rPr/>
        <w:t xml:space="preserve">N 3 հավելվածի 3-րդ կետը շարադրել հետևյալ խմբագրությամբ՝</w:t>
      </w:r>
    </w:p>
    <w:p>
      <w:pPr>
        <w:jc w:val="start"/>
      </w:pPr>
      <w:r>
        <w:rPr/>
        <w:t xml:space="preserve">«3.Սևանա լճում արդյունագործական նպատակներով ձկան և խեցգետնի որս իրականացնելու պայմանագրեր (այսուհետ՝ պայմանագիր) կնքելու համար հիմք են հանդիսանում յուրաքանչյուր տարի Կառավարության կողմից սահմանված դրանց օգտագործման տարեկան առավելագույն չափաքանակները,</w:t>
      </w:r>
    </w:p>
    <w:p>
      <w:pPr>
        <w:numPr>
          <w:ilvl w:val="0"/>
          <w:numId w:val="5"/>
        </w:numPr>
      </w:pPr>
      <w:r>
        <w:rPr/>
        <w:t xml:space="preserve">N 3 հավելվածի 1 և 5.2 կետերում «տարեկան ծրագրով» բառերը փոխարինել «յուրաքանչյուր տարի Կառավարության կողմից» բառերով,</w:t>
      </w:r>
    </w:p>
    <w:p>
      <w:pPr>
        <w:numPr>
          <w:ilvl w:val="0"/>
          <w:numId w:val="5"/>
        </w:numPr>
      </w:pPr>
      <w:r>
        <w:rPr/>
        <w:t xml:space="preserve">Ձև N 1-ի ծանոթագրության պարբերության «տարեկան ծրագրով» բառերը փոխարինել «յուրաքանչյուր տարի Կառավարության կողմից» բառերով։</w:t>
      </w:r>
    </w:p>
    <w:p>
      <w:pPr>
        <w:numPr>
          <w:ilvl w:val="0"/>
          <w:numId w:val="5"/>
        </w:numPr>
      </w:pPr>
      <w:r>
        <w:rPr/>
        <w:t xml:space="preserve">Ձև N 2-ի 4.12-րդ կետը շարադրել հետևյալ խմբագրությամբ՝</w:t>
      </w:r>
    </w:p>
    <w:p>
      <w:pPr>
        <w:jc w:val="start"/>
      </w:pPr>
      <w:r>
        <w:rPr/>
        <w:t xml:space="preserve">«2.4.12. գործել յուրաքանչյուր տարի Կառավարության կողմից սահմանված Սևանա լճում ձկան և խեցգետնի արդյունագործական որսի չափաքանակներին և ժամկետներին, արդյունագործական որսի կազմակերպման պայմաններին ու պահանջներին, ինչպես նաև Հայաստանի Հանրապետության կառավարության 2019 թվականի նոյեմբերի 21-ի N 1667-Ն որոշման N 1 հավելվածի 5-րդ և 6-րդ կետերով սահմանված պահանջներին համապատասխան:»: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tbl>
      <w:tblGrid>
        <w:gridCol w:w="4395" w:type="dxa"/>
        <w:gridCol w:w="5505" w:type="dxa"/>
      </w:tblGrid>
      <w:tblPr>
        <w:tblW w:w="4850" w:type="pct"/>
        <w:tblLayout w:type="autofit"/>
      </w:tblPr>
      <w:tr>
        <w:trPr/>
        <w:tc>
          <w:tcPr>
            <w:tcW w:w="4395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505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                              </w:t>
            </w:r>
            <w:r>
              <w:rPr>
                <w:b w:val="1"/>
                <w:bCs w:val="1"/>
              </w:rPr>
              <w:t xml:space="preserve">Ն. Փաշինյան</w:t>
            </w:r>
          </w:p>
        </w:tc>
      </w:tr>
      <w:tr>
        <w:trPr/>
        <w:tc>
          <w:tcPr>
            <w:tcW w:w="43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Հ</w:t>
      </w:r>
    </w:p>
    <w:p>
      <w:pPr/>
      <w:r>
        <w:rPr/>
        <w:t xml:space="preserve">        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7B9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A01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578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5A7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B846E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2026-04-02T05:02:54+04:00</dcterms:created>
  <dcterms:modified xsi:type="dcterms:W3CDTF">2026-04-02T05:02:54+04:00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