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ՀԱՅԱՍՏԱՆԻ ՀԱՆՐԱՊԵՏՈՒԹՅԱՆ ՔԱՂԱՔԱՇԻՆՈՒԹՅԱՆ ԿՈՄԻՏԵԻ  ՆԱԽԱԳԱՀԻ 2020 ԹՎԱԿԱՆԻ ԴԵԿՏԵՄԲԵՐԻ 28-Ի N 102-Ն ՀՐԱՄԱՆՈՒՄ ՓՈՓՈԽՈՒԹՅՈՒՆՆԵՐ ԵՎ ԼՐԱՑՈՒՄ ԿԱՏԱՐԵԼՈՒ ՄԱՍԻՆ>  ՀԱՅԱՍՏԱՆԻ ՀԱՆՐԱՊԵՏՈՒԹՅԱՆ ՔԱՂԱՔԱՇԻՆՈՒԹՅԱՆ ԿՈՄԻՏԵԻ ՆԱԽԱԳԱՀԻ ՀՐԱՄԱՆԻ ՆԱԽԱԳԻԾ</w:t></w:r><w:bookmarkEnd w:id="0"/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ՔԱՂԱՔԱՇԻՆՈՒԹՅԱՆ ԿՈՄԻՏԵ</w:t></w:r></w:p><w:p><w:pPr><w:jc w:val="center"/></w:pPr><w:r><w:rPr/><w:t xml:space="preserve">ՆԱԽԱԳԱՀ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Հ Ր Ա Մ Ա 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«____ » ___________2025 թ.                                                   N____________-Ն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ՔԱՂԱՔԱՇԻՆՈՒԹՅԱՆ ԿՈՄԻՏԵԻ </w:t></w:r></w:p><w:p><w:pPr><w:jc w:val="center"/></w:pPr><w:r><w:rPr><w:b w:val="1"/><w:bCs w:val="1"/></w:rPr><w:t xml:space="preserve">ՆԱԽԱԳԱՀԻ 2020 ԹՎԱԿԱՆԻ ԴԵԿՏԵՄԲԵՐԻ 28-Ի N 102-Ն ՀՐԱՄԱՆՈՒՄ ՓՈՓՈԽՈՒԹՅՈՒՆՆԵՐ ԵՎ ԼՐԱՑՈՒՄ ԿԱՏԱՐԵԼՈՒ ՄԱՍԻՆ</w:t></w:r></w:p><w:p><w:pPr><w:jc w:val="center"/></w:pPr><w:r><w:rPr><w:b w:val="1"/><w:bCs w:val="1"/></w:rPr><w:t xml:space="preserve">__________________________________________________________________</w:t></w:r></w:p><w:p><w:pPr><w:jc w:val="center"/></w:pPr><w:r><w:rPr/><w:t xml:space="preserve"> </w:t></w:r></w:p><w:p><w:pPr><w:jc w:val="center"/></w:pPr><w:r><w:rPr/><w:t xml:space="preserve">Հիմք ընդունելով «Քաղաքաշինության մասին» օրենքի 10.1-ին հոդվածի 3-րդ մասի 5.1-ին կետը, «Նորմատիվ իրավական ակտերի մասին» օրենքի 33-րդ և 34-րդ հոդվածները</w:t></w:r></w:p><w:p><w:pPr/><w:r><w:rPr><w:b w:val="1"/><w:bCs w:val="1"/></w:rPr><w:t xml:space="preserve"> </w:t></w:r></w:p><w:p><w:pPr><w:jc w:val="center"/></w:pPr><w:r><w:rPr><w:b w:val="1"/><w:bCs w:val="1"/></w:rPr><w:t xml:space="preserve">ՀՐԱՄԱՅՈՒՄ ԵՄ`</w:t></w:r></w:p><w:p><w:pPr/><w:r><w:rPr/><w:t xml:space="preserve"> </w:t></w:r></w:p><w:p><w:pPr><w:jc w:val="both"/></w:pPr><w:r><w:rPr/><w:t xml:space="preserve">1. Հայաստանի Հանրապետության քաղաքաշինության կոմիտեի նախագահի 2020 թվականի դեկտեմբերի 28-ի «ՀՀՇՆ 20.04-2020 «Երկրաշարժադիմացկուն շինարարություն. Նախագծման նորմեր» շինարարական նորմերը հաստատելու և Հայաստանի Հանրապետության քաղաքաշինության նախարարի 2006 թվականի փետրվարի 3-ի N 24-Ն հրամանն ուժը կորցրած ճանաչելու մասին» N 102-Ն հրամանի հավելվածի (այսուհետ՝ Հավելված)՝</w:t></w:r></w:p><w:p><w:pPr><w:jc w:val="both"/></w:pPr><w:r><w:rPr/><w:t xml:space="preserve">1) 9-րդ աղյուսակը շարադրել հետևյալ խմբագրությամբ.</w:t></w:r></w:p><w:p><w:pPr/><w:r><w:rPr/><w:t xml:space="preserve">«</w:t></w:r></w:p><w:tbl><w:tblGrid><w:gridCol w:w="720" w:type="dxa"/><w:gridCol w:w="7125" w:type="dxa"/><w:gridCol w:w="2430" w:type="dxa"/></w:tblGrid><w:tblPr><w:tblW w:w="10260" w:type="dxa"/><w:tblLayout w:type="autofit"/></w:tblPr><w:tr><w:trPr/><w:tc><w:tcPr><w:tcW w:w="720" w:type="dxa"/><w:noWrap/></w:tcPr><w:p><w:pPr/><w:r><w:rPr/><w:t xml:space="preserve">N</w:t></w:r></w:p></w:tc><w:tc><w:tcPr><w:tcW w:w="7125" w:type="dxa"/><w:noWrap/></w:tcPr><w:p><w:pPr/><w:r><w:rPr/><w:t xml:space="preserve">Շենքերի և շինությունների (կառույցների) նպատակային </w:t></w:r><w:br/><w:r><w:rPr/><w:t xml:space="preserve"> նշանակությունը</w:t></w:r></w:p></w:tc><w:tc><w:tcPr><w:tcW w:w="2430" w:type="dxa"/><w:noWrap/></w:tcPr><w:p><w:pPr/><w:r><w:rPr/><w:t xml:space="preserve">k2 գործակցի</w:t></w:r><w:br/><w:r><w:rPr/><w:t xml:space="preserve"> արժեքը</w:t></w:r></w:p></w:tc></w:tr><w:tr><w:trPr/><w:tc><w:tcPr><w:tcW w:w="720" w:type="dxa"/><w:noWrap/></w:tcPr><w:p><w:pPr/><w:r><w:rPr/><w:t xml:space="preserve">1.</w:t></w:r></w:p></w:tc><w:tc><w:tcPr><w:tcW w:w="7125" w:type="dxa"/><w:noWrap/></w:tcPr><w:p><w:pPr/><w:r><w:rPr/><w:t xml:space="preserve"> 6 և ավել հարկ ունեցող առողջապահական կազմակերպությունների շենքեր և շինություններ</w:t></w:r></w:p></w:tc><w:tc><w:tcPr><w:tcW w:w="2430" w:type="dxa"/><w:noWrap/></w:tcPr><w:p><w:pPr/><w:r><w:rPr/><w:t xml:space="preserve">1.5</w:t></w:r></w:p></w:tc></w:tr><w:tr><w:trPr/><w:tc><w:tcPr><w:tcW w:w="720" w:type="dxa"/><w:noWrap/></w:tcPr><w:p><w:pPr/><w:r><w:rPr/><w:t xml:space="preserve">2.</w:t></w:r></w:p></w:tc><w:tc><w:tcPr><w:tcW w:w="7125" w:type="dxa"/><w:noWrap/></w:tcPr><w:p><w:pPr/><w:r><w:rPr/><w:t xml:space="preserve"> 200 և ավելի այցելուների համար՝ կայարաններ, թատրոններ, կինոթատրոններ, օդանավակայանների շենքեր, ծածկած մարզադաշտեր, առևտրի կենտրոններ:</w:t></w:r></w:p></w:tc><w:tc><w:tcPr><w:tcW w:w="2430" w:type="dxa"/><w:noWrap/></w:tcPr><w:p><w:pPr/><w:r><w:rPr/><w:t xml:space="preserve">1.35</w:t></w:r></w:p></w:tc></w:tr><w:tr><w:trPr/><w:tc><w:tcPr><w:tcW w:w="720" w:type="dxa"/><w:noWrap/></w:tcPr><w:p><w:pPr/><w:r><w:rPr/><w:t xml:space="preserve"> </w:t></w:r></w:p><w:p><w:pPr/><w:r><w:rPr/><w:t xml:space="preserve"> </w:t></w:r></w:p><w:p><w:pPr/><w:r><w:rPr/><w:t xml:space="preserve">3.</w:t></w:r></w:p></w:tc><w:tc><w:tcPr><w:tcW w:w="7125" w:type="dxa"/><w:noWrap/></w:tcPr><w:p><w:pPr/><w:r><w:rPr/><w:t xml:space="preserve"> Հանրակրթական դպրոցներ, վարժարաններ, կրթահամալիրներ, քոլեջներ, ուսումնարաններ, նախադպրոցական կազմակերպություններ, բնակչության սոցիալական պաշտպանության հաստատություններ, սոցիալական հոգածության ցերեկային կենտրոններ, հոսպիսներ, բարձրագույն ուսումնական հաստատություններ, մինչև 5 հարկ ունեցող հիվանդանոցներ, եկեղեցական կառույցներ:</w:t></w:r></w:p></w:tc><w:tc><w:tcPr><w:tcW w:w="2430" w:type="dxa"/><w:noWrap/></w:tcPr><w:p><w:pPr/><w:r><w:rPr/><w:t xml:space="preserve">1.30</w:t></w:r></w:p></w:tc></w:tr><w:tr><w:trPr/><w:tc><w:tcPr><w:tcW w:w="720" w:type="dxa"/><w:noWrap/></w:tcPr><w:p><w:pPr/><w:r><w:rPr/><w:t xml:space="preserve"> </w:t></w:r></w:p><w:p><w:pPr/><w:r><w:rPr/><w:t xml:space="preserve">4.</w:t></w:r></w:p></w:tc><w:tc><w:tcPr><w:tcW w:w="7125" w:type="dxa"/><w:noWrap/></w:tcPr><w:p><w:pPr/><w:r><w:rPr/><w:t xml:space="preserve"> Էներգաջրագազամատակարարման համակարգերի, հեռախոսային և էլեկրոնային կապի, հրշեջ ծառայության և ոստիկանության համակարգերի, բանկերի, պետական և համայնքային նշանակության վարչական շենքեր և կառույցներ:</w:t></w:r></w:p></w:tc><w:tc><w:tcPr><w:tcW w:w="2430" w:type="dxa"/><w:noWrap/></w:tcPr><w:p><w:pPr/><w:r><w:rPr/><w:t xml:space="preserve">1.20</w:t></w:r></w:p></w:tc></w:tr><w:tr><w:trPr/><w:tc><w:tcPr><w:tcW w:w="720" w:type="dxa"/><w:noWrap/></w:tcPr><w:p><w:pPr/><w:r><w:rPr/><w:t xml:space="preserve"> </w:t></w:r></w:p><w:p><w:pPr/><w:r><w:rPr/><w:t xml:space="preserve"> </w:t></w:r></w:p><w:p><w:pPr/><w:r><w:rPr/><w:t xml:space="preserve">5.</w:t></w:r></w:p></w:tc><w:tc><w:tcPr><w:tcW w:w="7125" w:type="dxa"/><w:noWrap/></w:tcPr><w:p><w:pPr/><w:r><w:rPr/><w:t xml:space="preserve"> Շենքեր և շինություններ (կառույցներ), որոնց վնասվածության աստիճանը չի զուգակցվում մարդկանց մահվան ու արժեքավոր սարքավորումների փչացման հետ, չի հանգեցնում կազմակերպության անընդհատ գործող տեխնոլոգիական գործընթացների դադարեցմանը կամ շրջակա միջավայրի աղտոտմանը: Այս դեպքում թույլատրելի շեղվածքի սահմանափակման պայմանը հաշվի չի առնվում:</w:t></w:r></w:p></w:tc><w:tc><w:tcPr><w:tcW w:w="2430" w:type="dxa"/><w:noWrap/></w:tcPr><w:p><w:pPr/><w:r><w:rPr/><w:t xml:space="preserve">0÷0.5</w:t></w:r><w:br/><w:r><w:rPr/><w:t xml:space="preserve"> </w:t></w:r><w:br/><w:r><w:rPr/><w:t xml:space="preserve"> պատվիրատուի համաձայնությամբ</w:t></w:r></w:p></w:tc></w:tr><w:tr><w:trPr/><w:tc><w:tcPr><w:tcW w:w="720" w:type="dxa"/><w:noWrap/></w:tcPr><w:p><w:pPr/><w:r><w:rPr/><w:t xml:space="preserve">6.</w:t></w:r></w:p></w:tc><w:tc><w:tcPr><w:tcW w:w="7125" w:type="dxa"/><w:noWrap/></w:tcPr><w:p><w:pPr/><w:r><w:rPr/><w:t xml:space="preserve"> 1-5-րդ կետերում չհիշատակված շենքեր և շինություններ (կառույցներ):</w:t></w:r></w:p></w:tc><w:tc><w:tcPr><w:tcW w:w="2430" w:type="dxa"/><w:noWrap/></w:tcPr><w:p><w:pPr/><w:r><w:rPr/><w:t xml:space="preserve">1.0</w:t></w:r></w:p></w:tc></w:tr></w:tbl><w:p><w:pPr/><w:r><w:rPr/><w:t xml:space="preserve">»,</w:t></w:r></w:p><w:p><w:pPr/><w:r><w:rPr/><w:t xml:space="preserve">2) 82-րդ կետը ուժը կորցրած ճանաչել,</w:t></w:r></w:p><w:p><w:pPr/><w:r><w:rPr/><w:t xml:space="preserve">3) 158-րդ կետը շարադրել հետևյալ խմբագրությամբ.</w:t></w:r></w:p><w:p><w:pPr><w:jc w:val="both"/></w:pPr><w:r><w:rPr/><w:t xml:space="preserve">«158. Շրջանակակապային և կապային տարրերով անպարզունակ համակարգերով շենքերում կապային տարրերը պետք է լինեն յուրաքանչյուր ուղղությամբ երկուսից ոչ պակաս, տեղակայված տարբեր հարթություններում և հատակագծում լինեն հարկի կոշտության կենտրոնի նկատմամբ հնարավորության սահմաններում համաչափ: Տասը և ավելի հարկայնությամբ շենքերում երկու գլխավոր ուղղություններով պետք է լինի 4մ-ից և հարկի բարձրությունից ոչ պակաս երկարությամբ առնվազն երկու խուլ դիաֆրագմա՝ յուրաքանչյուր ուղղությամբ, խուլ կարող է համարվել մեկ բացվածք ունեցող դիաֆրագման, եթե բացվածքի մակերեսը չի գերազանցում դիաֆրագմայի ընդահնուր մակերեսի 20%-ը: »։</w:t></w:r></w:p><w:p><w:pPr><w:jc w:val="both"/></w:pPr><w:r><w:rPr/><w:t xml:space="preserve">2. Հավելվածը լրացնել նոր՝ 29.1-ին բաժնով՝ հետևալ բովանդակությամբ.</w:t></w:r></w:p><w:p><w:pPr><w:jc w:val="center"/></w:pPr><w:r><w:rPr/><w:t xml:space="preserve"> </w:t></w:r></w:p><w:p><w:pPr><w:jc w:val="center"/></w:pPr><w:r><w:rPr><w:b w:val="1"/><w:bCs w:val="1"/></w:rPr><w:t xml:space="preserve">« </w:t></w:r><w:r><w:rPr><w:b w:val="1"/><w:bCs w:val="1"/></w:rPr><w:t xml:space="preserve">29.1. ԱՌՈՂՋԱՊԱՀԱԿԱՆ, ՀԱՆՐԱԿՐԹԱԿԱՆ ՆՇԱՆԱԿՈՒԹՅԱՆ ԿԱԶՄԱԿԵՐՊՈՒԹՅՈՒՆՆԵՐԻ (ԱՅԴ ԹՎՈՒՄ ԿՐԹԱԿԱՆ՝ ՆԱԽԱԴՊՐՈՑԱԿԱՆ ԵՎ ԴՊՐՈՑԱԿԱՆ ԾՐԱԳՐԵՐ ԻՐԱԿԱՆԱՑՆՈՂ, ԾԱՌԱՅՈՒԹՅՈՒՆՆԵՐ ՄԱՏՈՒՑՈՂ)  ՇԵՆՔԵՐ, ՇԻՆՈՒԹՅՈՒՆՆԵՐ</w:t></w:r></w:p><w:p><w:pPr><w:jc w:val="center"/></w:pPr><w:r><w:rPr><w:b w:val="1"/><w:bCs w:val="1"/></w:rPr><w:t xml:space="preserve"> </w:t></w:r></w:p><w:p><w:pPr><w:jc w:val="both"/></w:pPr><w:r><w:rPr/><w:t xml:space="preserve">120.1. Առողջապահական կազմակերպությունների շենքերը, շինությունները (կառուցվածքները) պետք է ունենան առնվազն մեկ ստորգետնյա հարկ, վերգետնյա հարկերի թիվը չպետք է գերազանցի 9, իսկ վերգետնյա բարձրությունը՝ 33մ:</w:t></w:r></w:p><w:p><w:pPr><w:jc w:val="both"/></w:pPr><w:r><w:rPr/><w:t xml:space="preserve">120.2. Նախադպրոցական ծրագրեր իրականացնող կազմակերպությունների շենքի և շինությունների վերգետնյան հարկերի թիվը չպետք է գերազանցի 4-ը, իսկ դպրոցական ծրագրեր իրականացնող կազմակերպությունների շենքերի ու շինությունների վերգետնյան հարկերի թիվը չպետք է գերազանցի 5-ը:</w:t></w:r></w:p><w:p><w:pPr><w:jc w:val="both"/></w:pPr><w:r><w:rPr/><w:t xml:space="preserve">120.3. Առողջապահական, հանրակրթական նշանակության կազմակերպությունների շենքերի, շինությունների կոնստրուկտիվ համակարգը պետք է լինի շրջանակակապային:</w:t></w:r></w:p><w:p><w:pPr><w:jc w:val="both"/></w:pPr><w:r><w:rPr/><w:t xml:space="preserve">120.4. Արտաքին պատերն պետք է լինեն շրջանակակապային համակարգի կրող տարրեր, որոնցում բացվածքները կարող են իրականացվել առանց սահմանափակումների:</w:t></w:r></w:p><w:p><w:pPr><w:jc w:val="both"/></w:pPr><w:r><w:rPr/><w:t xml:space="preserve">120.5. Առողջապահական, հանրակրթական նշանակության կազմակերպությունների շենքերի, շինությունների առանցքային թռիչքները չպետք է գերազանցեն 6,5 մ:</w:t></w:r></w:p><w:p><w:pPr><w:jc w:val="both"/></w:pPr><w:r><w:rPr/><w:t xml:space="preserve">120.6. Ինժեներական սպասարկման բոլոր ցանցերը պետք է ապահովված լինեն հակասեյսմիկ միջոցառումներով և իրականացվեն համաձայն՝ սույն շինարարական նորմերի 29-րդ գլխի:</w:t></w:r></w:p><w:p><w:pPr><w:jc w:val="both"/></w:pPr><w:r><w:rPr/><w:t xml:space="preserve">120.7. Առողջապահական, հանրակրթական նշանակության շենքերում և շինություններում թույլատրվում է կիրառել սեյսմապաշտպանության հատուկ համակարգեր սույն շինարարական նորմերի 205-րդ և 206-րդ կետերին համապատասխան։»։</w:t></w:r></w:p><w:p><w:pPr><w:jc w:val="both"/></w:pPr><w:r><w:rPr/><w:t xml:space="preserve">3. Սույն հրամանն ուժի մեջ է մտնում պաշտոնական հրապարակմանը հաջորդող օրվանից:</w:t></w:r></w:p><w:p><w:pPr/><w:r><w:rPr/><w:t xml:space="preserve">                                                                                     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2026-03-31T04:00:06+04:00</dcterms:created>
  <dcterms:modified xsi:type="dcterms:W3CDTF">2026-03-31T04:00:06+04:00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