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«Բաժնետիրական ընկերությունների մասին» Հայաստանի Հանրապետության օրենքում փոփոխություններ և լրացումներ կատարելու մասին», «Սահմանափակ պատասխանատվությամբ ընկերությունների մասին» Հայաստանի Հանրապետության օրենքում փոփոխություն և լրացումներ կատարելու մասին» և «Արժեթղթերի շուկայի մասին» Հայաստանի Հանրապետության օրենքում փոփոխություն կատարելու մասին» ՀՀ օրենքների նախագծեր</w:t>
      </w:r>
      <w:bookmarkEnd w:id="0"/>
    </w:p>
    <w:p>
      <w:pPr>
        <w:jc w:val="center"/>
      </w:pPr>
      <w:r>
        <w:rPr>
          <w:rFonts w:ascii="Verdana" w:hAnsi="Verdana" w:eastAsia="Verdana" w:cs="Verdana"/>
          <w:color w:val="000000"/>
          <w:sz w:val="16.5"/>
          <w:szCs w:val="16.5"/>
          <w:b w:val="1"/>
          <w:bCs w:val="1"/>
          <w:i w:val="0"/>
          <w:iCs w:val="0"/>
          <w:smallCaps w:val="0"/>
          <w:spacing w:val="0"/>
          <w:shd w:val="clear" w:fill="transparent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ԲԱԺՆԵՏԻՐԱԿԱՆ</w:t>
      </w:r>
      <w:r>
        <w:rPr/>
        <w:t xml:space="preserve"> </w:t>
      </w:r>
      <w:r>
        <w:rPr>
          <w:b w:val="1"/>
          <w:bCs w:val="1"/>
        </w:rPr>
        <w:t xml:space="preserve">ԸՆԿԵՐՈՒԹՅՈՒՆՆԵՐԻ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ՓՈՓՈԽՈՒԹՅՈՒՆՆԵՐ 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1.</w:t>
      </w:r>
      <w:r>
        <w:rPr/>
        <w:t xml:space="preserve"> «Բաժնետիրական ընկերությունների մասին» Հայաստանի Հանրապետության 2001 թվականի սեպտեմբերի 25-ի ՀՕ-232 օրենքի (այսուհետ` Օրենք) 7-րդ հոդվածը լրացնել հետևյալ բովանդակությամբ 3.1-րդ մասով.</w:t>
      </w:r>
    </w:p>
    <w:p>
      <w:pPr/>
      <w:r>
        <w:rPr/>
        <w:t xml:space="preserve">«3.1 Դուստր և կախյալ ընկերություններն իրավունք չունեն գնելու հիմնական ընկերության թողարկած բաժնետոմսերը։»: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38-րդ հոդվածը լրացնել հետևյալ բովանդակությամբ 5.1-րդ մասով.</w:t>
      </w:r>
    </w:p>
    <w:p>
      <w:pPr/>
      <w:r>
        <w:rPr/>
        <w:t xml:space="preserve">5.1 Բաժնետերերի ընդհանուր ժողովում արտոնյալ բաժնետոմսերի դասերով նախատեսված իրավունքների սահմանափակմանը վերաբերող հարցերի քննարկմանը կարող են մասնակցել այդ բաժնետոմսերի սեփականատերերը կամ անվանատերերը։ Ընդ որում, իրավունքների սահմանափակման վերաբերյալ որոշումը կարող է ընդունվել միայն այն պարագայում, երբ այդ որոշմանը կողմ են քվեարկել համապատասխան դասի արտոնյալ բաժնետոմսերի 3/4-ի սեփականատերերը կամ անվանատերերը, եթե Ընկերության կանոնադրությամբ սեփականատերերի կամ անվանատերերի առավել մեծ թիվ սահմանված չէ։</w:t>
      </w:r>
    </w:p>
    <w:p>
      <w:pPr/>
      <w:r>
        <w:rPr/>
        <w:t xml:space="preserve">Սույն հոդվածի իմաստով իրավունքների սահմանափակում են համարվում արտոնյալ բաժնետոմսերի շահաբաժինների (շահութաբաժինների) նվազեցումը և հաշվարկման, վճարման կարգի փոփոխությունները:»: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38-րդ հոդվածի 1-ին մասից հանել «տեսակ» բառը:</w:t>
      </w:r>
    </w:p>
    <w:p>
      <w:pPr/>
      <w:r>
        <w:rPr>
          <w:b w:val="1"/>
          <w:bCs w:val="1"/>
        </w:rPr>
        <w:t xml:space="preserve">Հոդված 4</w:t>
      </w:r>
      <w:r>
        <w:rPr/>
        <w:t xml:space="preserve"> Օրենքում ավելացնել «38.1» հոդված հետևյալ բովանդակությամբ.</w:t>
      </w:r>
    </w:p>
    <w:p>
      <w:pPr/>
      <w:r>
        <w:rPr/>
        <w:t xml:space="preserve">«Հոդված 38.1. Բաժնետիրական համաձայնագիր</w:t>
      </w:r>
    </w:p>
    <w:p>
      <w:pPr>
        <w:numPr>
          <w:ilvl w:val="0"/>
          <w:numId w:val="2"/>
        </w:numPr>
      </w:pPr>
      <w:r>
        <w:rPr/>
        <w:t xml:space="preserve">Բաժնետիրական համաձայնագիրը բաժնետոմսերով հավաստվող իրավունքների իրականացման և (կամ) բաժնետոմսերի նկատմամբ իրավունքների իրականացման առանձնահատկությունների մասին պայմանագիր է: Բաժնետիրական համաձայնագրով կողմերը պարտավորվում են որոշակի ձևով իրականացնել բաժնետոմսերով հավաստվող իրավունքները և(կամ) բաժնետոմսերի նկատմամբ իրավունքները կամ ձեռնպահ մնալ այդ իրավունքների իրականացումից: Բաժնետիրական համաձայնագրով կարող է նախատեսվել բաժնետերերի ընդհանուր ժողովում պայմանագրով սահմանված ձևով քվեարկելու, քվեարկության կարգը կամ քվեարկությունը այլ անձանց հետ համաձայնեցնելու, այլ անձանց ցուցումներով քվեարկելու, բաժնետոմսերը նախապես սահմանված գնով և (կամ) պայմանագրով սահմանված հանգամանքների ի հայտ գալու դեպքում ձեռք բերելու և(կամ) օտարելու, մինչև պայմանագրով հանգամանքների ի հայտ գալը բաժնետոմսերի օտարումից ձեռնպահ մնալու, ինչպես նաև բաժնետիրական Ընկերության կառավարման, գործունեության, վերակազմակերպման և լուծարման հետ կապված այլ համաձայնեցված գործողություններ իրականացնելու պարտավորությունը:</w:t>
      </w:r>
    </w:p>
    <w:p>
      <w:pPr>
        <w:numPr>
          <w:ilvl w:val="0"/>
          <w:numId w:val="2"/>
        </w:numPr>
      </w:pPr>
      <w:r>
        <w:rPr/>
        <w:t xml:space="preserve">Բաժնետիրական համաձայնագիրը կնքվում է գրավոր: Բաժնետիրական համաձայնագրի կողմ կարող են լինել Ընկերությունը, բաժնետերերը, ինչպես նաև այն անձինք, որոնք բաժանորդագրվում են Ընկերության բաժնետոմսերին։ Եթե Ընկերությունը հանդիսանում է բաժնետիրական համաձայնագրի կողմ, ապա այդպիսի բաժնետիրական համաձայնագրի կնքումն իրականացվում է՝ հաշվի առնելով նաև սույն օրենքի IX գլխի դրույթները։</w:t>
      </w:r>
    </w:p>
    <w:p>
      <w:pPr>
        <w:numPr>
          <w:ilvl w:val="0"/>
          <w:numId w:val="2"/>
        </w:numPr>
      </w:pPr>
      <w:r>
        <w:rPr/>
        <w:t xml:space="preserve">Բաժնետիրական համաձայնագրի առարկա չի կարող լինել Ընկերության խորհրդի կամ գործադիր մարմնի ցուցումների համաձայն բաժնետիրական համաձայնագրի կողմերի քվեարկելու պարտավորությունը:</w:t>
      </w:r>
    </w:p>
    <w:p>
      <w:pPr>
        <w:numPr>
          <w:ilvl w:val="0"/>
          <w:numId w:val="2"/>
        </w:numPr>
      </w:pPr>
      <w:r>
        <w:rPr/>
        <w:t xml:space="preserve">Բաժնետիրական համաձայնագիրը պարտադիր է միայն համաձայնագրի կողմերի համար: Բաժնետիրական համաձայնագրի խախտմամբ կնքված գործարքը կարող է շահագրգիռ անձանց դիմումի հիման վրա դատարանի կողմից ճանաչվել անվավեր միայն այն դեպքում, երբ ապացուցվի, որ գործարքի մյուս կողմը գիտեր կամ պետք է իմանար բաժնետիրական համաձայնագրով նախատեսված սահմանափակումների մասին:</w:t>
      </w:r>
    </w:p>
    <w:p>
      <w:pPr>
        <w:numPr>
          <w:ilvl w:val="0"/>
          <w:numId w:val="2"/>
        </w:numPr>
      </w:pPr>
      <w:r>
        <w:rPr/>
        <w:t xml:space="preserve">Բաժնետիրական համաձայնագրի խախտումը կարող է հիմք հանդիսանալ Ընկերության կառավարման մարմինների որոշումներն անվավեր ճանաչելու համար, եթե ապացուցվում է, որ Ընկերության կառավարման մարմինների որոշումներն ընդունվել են ֆիդուցիար պարտավորությունների խախտմամբ:</w:t>
      </w:r>
    </w:p>
    <w:p>
      <w:pPr>
        <w:numPr>
          <w:ilvl w:val="0"/>
          <w:numId w:val="2"/>
        </w:numPr>
      </w:pPr>
      <w:r>
        <w:rPr/>
        <w:t xml:space="preserve">Բաժնետիրական համաձայնագրով կարող է նախատեսվել դրանից բխող պարտավորությունների կատարման ապահովման, ինչպես նաև դրանով նախատեսված պարտավորությունների չկատարման կամ ոչ պատշաճ կատարման քաղաքացիաիրավական պատասխանատվության միջոցներ: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47-րդ հոդվածի 2-րդ մասը շարադրել հետևյալ խմբագրությամբ.                                                                                     «Նախապատվության իրավունքի իրականացման ժամկետը դադարում է, եթե մինչև դրա ավարտվելը Ընկերության բոլոր բաժնետերերից ստացվել է նախապատվության իրավունքից օգտվելու կամ օգտվելուց հրաժարվելու վերաբերյալ գրավոր ծանուցում։»: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47-րդ հոդվածի 3-րդ մասը շարադրել հետևյալ խմբագրությամբ.                                                                                                   «Բաց ընկերության ժողովն իրավունք ունի որոշել չկիրառելու (կասեցնելու) քվեարկող բաժնետոմսերի սեփականատերերի սույն հոդվածի 1-ին մասում նշված նախապատվության իրավունքը, ինչպես նաև սահմանել այդ որոշման գործողության ժամկետը, եթե տեղաբաշխվող բաժնետոմսերի դիմաց վճարումն իրականացվելու է դրամական միջոցներով։»: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7.</w:t>
      </w:r>
      <w:r>
        <w:rPr/>
        <w:t xml:space="preserve"> Օրենքի 49-րդ հոդվածի 4-րդ մասի 1-ին պարբերությունից հետո լրացնել նոր նախադասություն հետևյալ բովանդակությամբ.                   «Տարեկան և միջանկյալ շահութաբաժինները վճարվում են շահութաբաժինների վճարման մասին որոշումն ընդունելուց հետո մեկ տարվա ընթացքում։»։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Օրենքի 56-րդ հոդվածի 1-ին մասի երկրորդ պարբերությունը լրացնել հետևյալ բովանդակությամբ նոր նախադասությամբ.</w:t>
      </w:r>
    </w:p>
    <w:p>
      <w:pPr/>
      <w:r>
        <w:rPr/>
        <w:t xml:space="preserve">«Ընկերությունն իրավունք չունի որոշել համախմբել (կոնսոլիդացնել) տեղաբաշխված բաժնետոմսերը, եթե դրա արդյունքում Ընկերության որևէ բաժնետեր կզրկվի առնվազն մեկ բաժնետոմս ունենալու իրավունքից։»: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64-րդ հոդվածի 2-րդ մասի 2-րդ պարբերությունը ճանաչել ուժը կորցրած։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 Օրենքի 64-րդ հոդվածի 3-րդ մասի ա) կետը շարադրել հետևյալ խմբագրությամբ.</w:t>
      </w:r>
    </w:p>
    <w:p>
      <w:pPr/>
      <w:r>
        <w:rPr/>
        <w:t xml:space="preserve">«ա) գործարքով վճարման ենթակա գումարը կամ գործարքի առարկա հանդիսացող գույքի` սույն օրենքի 59-րդ հոդվածով սահմանված կարգով հաշվարկված շուկայական արժեքը հավասար է Ընկերության ակտիվների արժեքի առնվազն 10 տոկոսին.»:    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Օրենքի 68-րդ հոդվածի 13-րդ մասի 2-րդ նախադասությունը ուժը կորցրած ճանաչել: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Օրենքի 71-րդ հոդվածի 2-րդ մասում «15» թիվը փոխարինել «21» թվով։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 Օրենքի 84-րդ հոդվածի 1-ին  մասում լրացնել նոր «ժ</w:t>
      </w:r>
      <w:r>
        <w:rPr>
          <w:vertAlign w:val="superscript"/>
        </w:rPr>
        <w:t xml:space="preserve">1</w:t>
      </w:r>
      <w:r>
        <w:rPr/>
        <w:t xml:space="preserve">» ենթակետ հետևյալ բովանդակությամբ.</w:t>
      </w:r>
    </w:p>
    <w:p>
      <w:pPr/>
      <w:r>
        <w:rPr/>
        <w:t xml:space="preserve">«ժ</w:t>
      </w:r>
      <w:r>
        <w:rPr>
          <w:vertAlign w:val="superscript"/>
        </w:rPr>
        <w:t xml:space="preserve">1</w:t>
      </w:r>
      <w:r>
        <w:rPr/>
        <w:t xml:space="preserve">) խորհրդին կից հանձնաժողովների (հանձնախմբերի) ձևավորումը, այդ թվում՝ աուդիտի.»:</w:t>
      </w:r>
    </w:p>
    <w:p>
      <w:pPr/>
      <w:r>
        <w:rPr>
          <w:b w:val="1"/>
          <w:bCs w:val="1"/>
        </w:rPr>
        <w:t xml:space="preserve">Հոդված 14. </w:t>
      </w:r>
      <w:r>
        <w:rPr/>
        <w:t xml:space="preserve">Օրենքի 85-րդ հոդվածի 5-րդ մասի 1-ին պարբերությունից հետո շարադրել նոր պարբերություն՝ հետևյալ բովանդակությամբ. «Բաց ընկերություններում խորհրդի անդամների առնվազն մեկ երրորդը պետք է լինի անկախ։ Եթե մեկ երրորդը բնական թիվ չէ, ապա  խորհրդի անկախ անդամների թիվ է համարվում է  մեկ երրորդին առավել մոտ ամբողջ թիվը:</w:t>
      </w:r>
    </w:p>
    <w:p>
      <w:pPr/>
      <w:r>
        <w:rPr/>
        <w:t xml:space="preserve">Խորհրդի անկախ անդամ կարող է ընտրվել այն անձը, ով՝</w:t>
      </w:r>
    </w:p>
    <w:p>
      <w:pPr/>
      <w:r>
        <w:rPr/>
        <w:t xml:space="preserve">ա) վերջին երեք  տարվա ընթացքում ընկերությունում գործադիր ղեկավար պաշտոն չի զբաղեցրել, չի աշխատել ընկերությունում կամ դրա հետ փոխկապակցված այլ անձում,</w:t>
      </w:r>
    </w:p>
    <w:p>
      <w:pPr/>
      <w:r>
        <w:rPr/>
        <w:t xml:space="preserve">բ) վերջին երեք տարվա ընթացքում ընկերությունից կամ ընկերության հետ փոխկապակցված անձից (անձանցից) ուղղակիորեն կամ անուղղակիորեն չի ստացել որևէ վարձատրություն, բացառությամբ որպես խորհրդի անդամ ստացած վարձատրությունը,</w:t>
      </w:r>
    </w:p>
    <w:p>
      <w:pPr/>
      <w:r>
        <w:rPr/>
        <w:t xml:space="preserve">գ) վերջին երեք տարվա ընթացքում ինչպես ուղղակիորեն, այնպես էլ որպես գործընկեր, նշանակալից բաժնետեր, խորհրդի անդամ, գործադիր մարմնի անդամ (ներկայացուցիչ) չի ունեցել էական որևէ գործարար հարաբերություն ընկերության և ընկերության հետ փոխկապակցված անձի (անձանց) հետ,</w:t>
      </w:r>
    </w:p>
    <w:p>
      <w:pPr/>
      <w:r>
        <w:rPr/>
        <w:t xml:space="preserve">դ) վերջին  հինգ տարվա ընթացքում չի հանդիսացել ընկերության արտաքին աուդիտն իրականացնող անձի և դրա հետ փոխկապակցված անձի (անձանց) բաժնետեր և աշխատող,</w:t>
      </w:r>
    </w:p>
    <w:p>
      <w:pPr/>
      <w:r>
        <w:rPr/>
        <w:t xml:space="preserve">ե) վերջին 10 տարվա ընթացքում 6 տարուց ավելի չի հանդիսացել ընկերության խորհրդի անդամ,</w:t>
      </w:r>
    </w:p>
    <w:p>
      <w:pPr/>
      <w:r>
        <w:rPr/>
        <w:t xml:space="preserve">զ) չի հանդիսանում ընկերության նշանակալից բաժնետեր,</w:t>
      </w:r>
    </w:p>
    <w:p>
      <w:pPr/>
      <w:r>
        <w:rPr/>
        <w:t xml:space="preserve">է) վերջին մեկ տարվա ընթացքում անմիջական հսկողություն չի իրականացրել ընկերության նկատմամբ՝ որպես հանրային ծառայող,</w:t>
      </w:r>
    </w:p>
    <w:p>
      <w:pPr/>
      <w:r>
        <w:rPr/>
        <w:t xml:space="preserve">ը) չի հանդիսանում վերոհիշյալ անձանցից որևէ մեկի ընտանիքի անդամ:</w:t>
      </w:r>
    </w:p>
    <w:p>
      <w:pPr/>
      <w:r>
        <w:rPr/>
        <w:t xml:space="preserve">Նշված սահմանափակումները գործում են նաև խորհրդի անդամի պարտականությունները կատարելու ժամանակահատվածում։»:</w:t>
      </w:r>
    </w:p>
    <w:p>
      <w:pPr/>
      <w:r>
        <w:rPr>
          <w:b w:val="1"/>
          <w:bCs w:val="1"/>
        </w:rPr>
        <w:t xml:space="preserve">Հոդված 15. </w:t>
      </w:r>
      <w:r>
        <w:rPr/>
        <w:t xml:space="preserve">Օրենքը լրացնել հետևյալ բովանդակությամբ նոր 87.1-րդ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87.1 Բաց ընկերություններում խ</w:t>
      </w:r>
      <w:r>
        <w:rPr>
          <w:b w:val="1"/>
          <w:bCs w:val="1"/>
        </w:rPr>
        <w:t xml:space="preserve">որհրդի</w:t>
      </w:r>
      <w:r>
        <w:rPr>
          <w:b w:val="1"/>
          <w:bCs w:val="1"/>
        </w:rPr>
        <w:t xml:space="preserve">ն կից աուդիտի հանձնաժողովը</w:t>
      </w:r>
    </w:p>
    <w:p>
      <w:pPr>
        <w:numPr>
          <w:ilvl w:val="0"/>
          <w:numId w:val="3"/>
        </w:numPr>
      </w:pPr>
      <w:r>
        <w:rPr/>
        <w:t xml:space="preserve">Բաց ընկերությունում ձևավորվում է խորհրդին կից աուդիտի հանձնաժողով։</w:t>
      </w:r>
    </w:p>
    <w:p>
      <w:pPr>
        <w:numPr>
          <w:ilvl w:val="0"/>
          <w:numId w:val="3"/>
        </w:numPr>
      </w:pPr>
      <w:r>
        <w:rPr/>
        <w:t xml:space="preserve">Բաց ընկերությունում խորհրդին կից աուդիտի հանձնաժողովը (այսուհետ՝ Աուդիտի հանձնաժողով) կազմված է բացառապես խորհրդի անդամներից: Աուդիտի հանձնաժողովի անդամներից առնվազն մեկը պետք է լինի խորհրդի անկախ անդամ:</w:t>
      </w:r>
    </w:p>
    <w:p>
      <w:pPr>
        <w:numPr>
          <w:ilvl w:val="0"/>
          <w:numId w:val="3"/>
        </w:numPr>
      </w:pPr>
      <w:r>
        <w:rPr/>
        <w:t xml:space="preserve">Աուդիտի հանձնաժողովի անդամ չի կարող լինել այն անձը, ով ներգրավված է ընկերության և դրա հետ փոխկապակցված անձի (անձանց) ընթացիկ գործունեության ղեկավարման մեջ:</w:t>
      </w:r>
    </w:p>
    <w:p>
      <w:pPr>
        <w:numPr>
          <w:ilvl w:val="0"/>
          <w:numId w:val="3"/>
        </w:numPr>
      </w:pPr>
      <w:r>
        <w:rPr/>
        <w:t xml:space="preserve">Աուդիտի հանձնաժողովի անդամները պետք է ունենան ընկերության գործունեության ոլորտին առնչվող մասնագիտական գիտելիքներ: Աուդիտի հանձնաժողովի անդամներից առնվազն մեկը պետք է գիտելիքներ ունենա հաշվապահական հաշվառման, աուդիտի և ռիսկերի կառավարման բնագավառում:</w:t>
      </w:r>
    </w:p>
    <w:p>
      <w:pPr>
        <w:numPr>
          <w:ilvl w:val="0"/>
          <w:numId w:val="3"/>
        </w:numPr>
      </w:pPr>
      <w:r>
        <w:rPr/>
        <w:t xml:space="preserve">Աուդիտի հանձնաժողովի նախագահն ընտրվում է խորհրդի կողմից: Աուդիտի հանձնաժողովի նախագահը պետք է լինի խորհրդի անկախ անդամ: Խորհրդի նախագահի և Աուդիտի հանձնաժողովի նախագահի պաշտոնները չեն կարող համատեղվել:</w:t>
      </w:r>
    </w:p>
    <w:p>
      <w:pPr/>
      <w:r>
        <w:rPr/>
        <w:t xml:space="preserve">5.Աուդիտի հանձնաժողովը  իրականացնում է.</w:t>
      </w:r>
    </w:p>
    <w:p>
      <w:pPr/>
      <w:r>
        <w:rPr/>
        <w:t xml:space="preserve">ա) Ընկերության ֆինանսական հաշվետվությունների և ընկերության գործունեության ֆինանսական արդյունքների վերաբերյալ պաշտոնական հայտարարությունների արժանահավատության ապահովման գործընթացի վերահսկում (ստուգում).</w:t>
      </w:r>
    </w:p>
    <w:p>
      <w:pPr/>
      <w:r>
        <w:rPr/>
        <w:t xml:space="preserve">բ) Ընկերության եռամսյակային և տարեկան հաշվետվությունների վերլուծություն և խորհրդին առաջարկությունների ներկայացում դրանց հաստատման վերաբերյալ.</w:t>
      </w:r>
    </w:p>
    <w:p>
      <w:pPr/>
      <w:r>
        <w:rPr/>
        <w:t xml:space="preserve">գ) Ընկերության ներքին հսկողության, այդ թվում՝ ռիսկերի կառավարման, գործող օրենքներին, իրավական ակտերին և այլ պահանջներին համապատասխանելու համակարգերի գործունեության ստուգում.</w:t>
      </w:r>
    </w:p>
    <w:p>
      <w:pPr/>
      <w:r>
        <w:rPr/>
        <w:t xml:space="preserve">դ) Ընկերության արտաքին աուդիտորի ընտրության չափանիշների, վարձատրության և այլ էական պայմանների վերաբերյալ խորհրդին առաջարկությունների ներկայացում.</w:t>
      </w:r>
    </w:p>
    <w:p>
      <w:pPr/>
      <w:r>
        <w:rPr/>
        <w:t xml:space="preserve">ե)  Ընկերության արտաքին աուդիտորի անկախության, օբյեկտիվության և արդյունավետության վերահսկում ու վերլուծություն.</w:t>
      </w:r>
    </w:p>
    <w:p>
      <w:pPr/>
      <w:r>
        <w:rPr/>
        <w:t xml:space="preserve">զ)  տարեկան առնվազն մեկ անգամ հանդիպում արտաքին աուդիտորի հետ.</w:t>
      </w:r>
    </w:p>
    <w:p>
      <w:pPr/>
      <w:r>
        <w:rPr/>
        <w:t xml:space="preserve">է)   Ընկերության արտաքին աուդիտորի հաշվետվությունների վերլուծություն և համապատասխան տեղեկատվության տրամադրում խորհրդին.</w:t>
      </w:r>
    </w:p>
    <w:p>
      <w:pPr/>
      <w:r>
        <w:rPr/>
        <w:t xml:space="preserve">ը)  Ընկերության արտաքին աուդիտորի առաջարկությունների իրականացմանը հետևում.</w:t>
      </w:r>
    </w:p>
    <w:p>
      <w:pPr/>
      <w:r>
        <w:rPr/>
        <w:t xml:space="preserve">թ)  Ընկերության ներքին հսկողության համակարգի վերաբերյալ քաղաքականությունների մշակում և դրանց ներդրմանը հետևում:</w:t>
      </w:r>
    </w:p>
    <w:p>
      <w:pPr/>
      <w:r>
        <w:rPr/>
        <w:t xml:space="preserve">Ընկերության կանոնադրությամբ կամ ներքին իրավական ակտերով կարող են սահմանվել աուդիտի հանձնաժողովի այլ իրավասություններ:»:</w:t>
      </w:r>
    </w:p>
    <w:p>
      <w:pPr/>
      <w:r>
        <w:rPr>
          <w:b w:val="1"/>
          <w:bCs w:val="1"/>
        </w:rPr>
        <w:t xml:space="preserve">Հոդված 16. </w:t>
      </w:r>
      <w:r>
        <w:rPr/>
        <w:t xml:space="preserve">Օրենքի 93-րդ հոդվածի 1.1-րդ մասը շարադրել հետևյալ խմբագրությամբ․</w:t>
      </w:r>
    </w:p>
    <w:p>
      <w:pPr/>
      <w:r>
        <w:rPr/>
        <w:t xml:space="preserve">«1.1 Եթե շահագրգռվածության առկայությամբ գործարքով վճարման ենթակա գումարը կամ գործարքի առարկա հանդիսացող գույքի` սույն օրենքի 59-րդ հոդվածով սահմանված կարգով հաշվարկված շուկայական արժեքը հավասար է Ընկերության ակտիվների արժեքի առնվազն 10 տոկոսին, ապա բաց ընկերության անկախ գնահատողը մինչև գործարքի կնքման որոշումն ընդունելը, տալիս է եզրակացություն գործարքի` սույն օրենքի պահանջներին, ինչպես նաև շուկայական արժեքին համապատասխանության վերաբերյալ:»։</w:t>
      </w:r>
    </w:p>
    <w:p>
      <w:pPr/>
      <w:r>
        <w:rPr>
          <w:b w:val="1"/>
          <w:bCs w:val="1"/>
        </w:rPr>
        <w:t xml:space="preserve">Հոդված 17. </w:t>
      </w:r>
      <w:r>
        <w:rPr/>
        <w:t xml:space="preserve">Օրենքի 96-րդ հոդվածի 1.1-րդ մասը շարադրել հետևյալ խմբագրությամբ.</w:t>
      </w:r>
    </w:p>
    <w:p>
      <w:pPr/>
      <w:r>
        <w:rPr/>
        <w:t xml:space="preserve">«Բաց Ընկերությունը պարտավոր է սույն օրենքի 64-րդ հոդվածի 3-րդ մասի ա) կետով սահմանված շահագրգռվածության առկայությամբ գործարք կնքելու մասին որոշումը կայացնելուց հետո` եռօրյա ժամկետում, գործարքի կողմերի, պայմանների, շահագրգռվածության բնույթի ու շրջանակների վերաբերյալ տեղեկատվությունը, ինչպես նաև սույն օրենքի 93-րդ հոդվածի 1.1-ին մասով սահմանված եզրակացությունը տրամադրել Ընկերության բոլոր բաժնետերերին կամ գործարքի կողմերի, պայմանների, շահագրգռվածության բնույթի ու շրջանակների վերաբերյալ տեղեկատվությունը, ինչպես նաև սույն օրենքի 93-րդ հոդվածի 1.1-ին մասով սահմանված եզրակացությունը հրապարակել Հայաստանի Հանրապետության հրապարակային ծանուցումների www.azdarar.am պաշտոնական ինտերնետային կայքում, եթե Ընկերությունը չունի իր պաշտոնական ինտերնետային կայքը:»։</w:t>
      </w:r>
    </w:p>
    <w:p>
      <w:pPr/>
      <w:r>
        <w:rPr>
          <w:b w:val="1"/>
          <w:bCs w:val="1"/>
        </w:rPr>
        <w:t xml:space="preserve">Հոդված 18.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ՍԱՀՄԱՆԱՓԱԿ</w:t>
      </w:r>
      <w:r>
        <w:rPr/>
        <w:t xml:space="preserve"> </w:t>
      </w:r>
      <w:r>
        <w:rPr>
          <w:b w:val="1"/>
          <w:bCs w:val="1"/>
        </w:rPr>
        <w:t xml:space="preserve">ՊԱՏԱՍԽԱՆԱՏՎՈՒԹՅԱՄԲ</w:t>
      </w:r>
      <w:r>
        <w:rPr/>
        <w:t xml:space="preserve"> </w:t>
      </w:r>
      <w:r>
        <w:rPr>
          <w:b w:val="1"/>
          <w:bCs w:val="1"/>
        </w:rPr>
        <w:t xml:space="preserve">ԸՆԿԵՐՈՒԹՅՈՒՆՆԵՐԻ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«Սահմանափակ պատասխանատվությամբ ընկերությունների մասին» Հայաստանի Հանրապետության 2001 թվականի հոկտեմբերի 24-ի ՀՕ-252 օրենքի (այսուհետ` Օրենք) 38-րդ հոդվածի 2-րդ մասը շարադրել հետևյալ խմբագրությամբ.</w:t>
      </w:r>
    </w:p>
    <w:p>
      <w:pPr/>
      <w:r>
        <w:rPr/>
        <w:t xml:space="preserve">2. Եթե ընկերությունում ձևավորվել է խորհուրդ, ապա արտահերթ ընդհանուր ժողովը հրավիրվում է խորհրդի որոշմամբ՝ սեփական նախաձեռնությամբ, ընկերության գործադիր մարմնի կամ պահանջը ներկայացնելու պահի դրությամբ ընկերության` գումարային առումով առնվազն 10 տոկոս քվեարկող բաժնեմասի սեփականատեր մասնակցի (մասնակիցների) պահանջով: Ընկերությունում խորհուրդ չձևավորվելու դեպքում արտահերթ ընդհանուր ժողովը հրավիրվում է ընկերության գործադիր մարմնի կողմից` սեփական նախաձեռնությամբ կամ պահանջը ներկայացնելու պահի դրությամբ ընկերության` գումարային առումով առնվազն 10 տոկոս քվեարկող բաժնեմասի սեփականատեր մասնակցի (մասնակիցների) պահանջով:</w:t>
      </w:r>
    </w:p>
    <w:p>
      <w:pPr/>
      <w:r>
        <w:rPr/>
        <w:t xml:space="preserve">Պահանջը ներկայացնելու պահի դրությամբ ընկերության` գումարային առումով առնվազն 10 տոկոս քվեարկող բաժնեմասի սեփականատեր մասնակցի (մասնակիցների) պահանջով ընդհանուր ժողով գումարելու դեպքում ժողովի գումարման ձևը և օրակարգը սահմանվում են այն գումարելու պահանջը ներկայացրած մասնակցի (մասնակիցների) կողմից::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Օրենքի 24-րդ հոդվածը լրացնել հետևյալ բովանդակությամբ նոր 4-րդ մասով.</w:t>
      </w:r>
    </w:p>
    <w:p>
      <w:pPr/>
      <w:r>
        <w:rPr/>
        <w:t xml:space="preserve">«4. Շահույթը բաշխվում է շահույթի բաշխման մասին որոշումն ընդունվելուց հետո մեկ տարվա ընթացքում։»։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  </w:t>
      </w:r>
      <w:r>
        <w:rPr>
          <w:rFonts w:ascii="Verdana" w:hAnsi="Verdana" w:eastAsia="Verdana" w:cs="Verdana"/>
          <w:color w:val="000000"/>
          <w:sz w:val="16.5"/>
          <w:szCs w:val="16.5"/>
          <w:b w:val="1"/>
          <w:bCs w:val="1"/>
          <w:i w:val="0"/>
          <w:iCs w:val="0"/>
          <w:smallCaps w:val="0"/>
          <w:spacing w:val="0"/>
          <w:shd w:val="clear" w:fill="transparent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ԱՐԺԵԹՂԹԵՐԻ ՇՈՒԿԱՅԻ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«Արժեթղթերի շուկայի մասին» Հայաստանի Հանրապետության 2007 թվականի հոկտեմբերի 11-ի ՀՕ-195-Ն օրենքի 152-րդ հոդվածի 1-ին և 2-րդ մասերում, ինչպես նաև 4-րդ մասի 1-ին և 2-րդ կետերում «ավելի քան 75» բառերը փոխարինել «50 և ավելի» բառերով, իսկ նույն հոդվածի 4-րդ մասի 4-րդ կետում «75» բառը փոխարինել «50 և ավելի»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C8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2A2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2026-03-31T00:02:48+04:00</dcterms:created>
  <dcterms:modified xsi:type="dcterms:W3CDTF">2026-03-31T00:02:48+04:00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