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ՕԳՈՍՏՈՍԻ 11-Ի N 1384-Ն ՈՐՈՇՄԱՆ ՄԵՋ ԼՐԱՑՈՒՄ ԵՎ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__________________  2018 թվականի N     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2005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ՕԳՈՍՏՈՍԻ 11-Ի N 1384-Ն ՈՐՈՇՄԱՆ ՄԵՋ ԼՐԱՑՈՒՄ ԵՎ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         Համաձայն «Դատախազության մասին» Հայաստանի Հանրապետության 2017 թվականի նոյեմբերի 17-ի ՀՕ-198-Ն օրենքի 67-րդ հոդվածի 5-րդ մասի՝ Հայաստանի Հանրապետության կառավարությունը ո ր ո շ ո ւ մ  է.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11-ի «Ամենամյա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մասին» N 1384-Ն որոշման N 1 հավելվածում՝</w:t>
      </w:r>
    </w:p>
    <w:p>
      <w:pPr>
        <w:jc w:val="both"/>
      </w:pPr>
      <w:r>
        <w:rPr/>
        <w:t xml:space="preserve">1) լրացնել հետևյալ բովանդակությամբ 19.1-ին կետով.</w:t>
      </w:r>
    </w:p>
    <w:p>
      <w:pPr/>
      <w:r>
        <w:rPr/>
        <w:t xml:space="preserve">«</w:t>
      </w:r>
    </w:p>
    <w:tbl>
      <w:tblGrid>
        <w:gridCol w:w="810" w:type="dxa"/>
        <w:gridCol w:w="7110" w:type="dxa"/>
        <w:gridCol w:w="810" w:type="dxa"/>
        <w:gridCol w:w="900" w:type="dxa"/>
      </w:tblGrid>
      <w:tblPr>
        <w:tblW w:w="9630" w:type="dxa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19.1.</w:t>
            </w:r>
          </w:p>
        </w:tc>
        <w:tc>
          <w:tcPr>
            <w:tcW w:w="7110" w:type="dxa"/>
            <w:noWrap/>
          </w:tcPr>
          <w:p>
            <w:pPr/>
            <w:r>
              <w:rPr/>
              <w:t xml:space="preserve">Դատախազներ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»:</w:t>
      </w:r>
    </w:p>
    <w:p>
      <w:pPr>
        <w:jc w:val="both"/>
      </w:pPr>
      <w:r>
        <w:rPr/>
        <w:t xml:space="preserve">2) 20-րդ կետը «դատախազության աշխատողներ» բառերից հետո լրացնել «(բացառությամբ դատախազների)» բառերով: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2DA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2026-04-02T04:23:41+04:00</dcterms:created>
  <dcterms:modified xsi:type="dcterms:W3CDTF">2026-04-02T04:23:41+04:00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