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ՀՈՒԼԻՍԻ 20-Ի N 1106-Ն ՈՐՈՇՄԱՆ ՄԵՋ  ՓՈՓՈԽՈՒԹՅՈՒՆՆԵՐ ԵՎ ԼՐԱՑՈՒՄ ԿԱՏԱՐԵԼՈՒ ՄԱՍԻՆ</w:t>
      </w:r>
      <w:bookmarkEnd w:id="0"/>
    </w:p>
    <w:p>
      <w:pPr/>
      <w:r>
        <w:rPr/>
        <w:t xml:space="preserve">  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______________ 2024 թվականի N ____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2006 ԹՎԱԿԱՆԻ ՀՈՒԼԻՍԻ 20-Ի N 1106-Ն ՈՐՈՇՄԱՆ ՄԵՋ  ՓՈՓՈԽՈՒԹՅՈՒՆՆԵՐ ԵՎ ԼՐԱՑՈՒՄ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հուլիսի 20-ի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և չմասնատվող բեռներ փոխադրող թույլատրելի առավելագույն զանգվածը գերազանցող և (կամ) մեկ սռնու վրա ընկնող բեռնվածքը գերազանցող և (կամ) մեծ եզրաչափերով տրանսպորտային միջոցներով փոխադրումների իրականացման երթուղու տրամադրման թույլտվության կարգը, տրանսպորտային միջոցների թույլատրելի առավելագույն զանգվածը և (կամ) մեկ սռնու վրա ընկնող բեռնվածքը, ինչպես նաև մեծ եզրաչափերի առավելագույն չափերը հաստատելու մասին թույլտվության տրամադրման կարգը</w:t>
      </w:r>
      <w:r>
        <w:rPr>
          <w:b w:val="1"/>
          <w:bCs w:val="1"/>
        </w:rPr>
        <w:t xml:space="preserve"> հաստատելու մասին</w:t>
      </w:r>
      <w:r>
        <w:rPr>
          <w:b w:val="1"/>
          <w:bCs w:val="1"/>
        </w:rPr>
        <w:t xml:space="preserve">»</w:t>
      </w:r>
      <w:r>
        <w:rPr/>
        <w:t xml:space="preserve"> N 1106-Ն որոշման (այսուհետ՝ Որոշում) մեջ կատարել հետևյալ փոփոխությունները և լրացումները`</w:t>
      </w:r>
    </w:p>
    <w:p>
      <w:pPr/>
      <w:r>
        <w:rPr/>
        <w:t xml:space="preserve">        1) Որոշման 1-ին կետի ա) ենթակետով հաստատված N 1 հավելվածի՝</w:t>
      </w:r>
    </w:p>
    <w:p>
      <w:pPr/>
      <w:r>
        <w:rPr/>
        <w:t xml:space="preserve">  ա. 2-րդ կետի 6-րդ ենթակետի Հայաստանի Հանրապետության ոստիկանության ճանապարհային ոստիկանությունը (այսուհետ` ճանապարհային ոստիկանություն) բառերը փոխարինել Հայաստանի Հանրապետության ներքին գործերի նախարարության ոստիկանության իրավասու ստորաբաժանումը (այսուհետ` Ոստիկանության իրավասու ստորաբաժանում) բառերով, 8-րդ ենթակետի ճանապարհային ոստիկանության բառերը փոխարինել  Ոստիկանության իրավասու ստորաբաժան բառերով, իսկ 12-րդ ենթակետի «Հայաստանի Հանրապետության ընդհանուր օգտագործման պետական ավտոմոբիլային ճանապարհներով մեծ եզրաչափերով տրանսպորտային միջոցով բեռ փոխադրելու իրավունք վերապահող փաստաթուղթ (Ձև N 2), կամ Հայաստանի Հանրապետության ընդհանուր օգտագործման պետական ավտոմոբիլային ճանապարհներով թույլատրելի ընդհանուր զանգվածը և (կամ) մեկ սռնու վրա ընկնող թույլատրելի բեռնվածքը գերազանցող ծանրաքաշ տրանսպորտային միջոցով չմասնատվող բեռ փոխադրելու իրավունք վերապահող փաստաթուղթ (Ձև N 3)» բառերը փոխարինել «Հայաստանի Հանրապետության ընդհանուր օգտագործման պետական ավտոմոբիլային ճանապարհներով ծանրաքաշ, չմասնատվող և (կամ) մեծ եզրաչափերով բեռ փոխադրելու իրավունք վերապահող փաստաթուղթ» բառերով.</w:t>
      </w:r>
    </w:p>
    <w:p>
      <w:pPr/>
      <w:r>
        <w:rPr/>
        <w:t xml:space="preserve">բ. 4-րդ կետը շարադրել հետևյալ խմբագրությամբ՝ «4.Ծանրաքաշ, չմասնատվող և (կամ) մեծ եզրաչափերով բեռների փոխադրումների իրականացման թույլտվությունները տրամադրվում են տրանսպորտի ոլորտի թվային ծառայությունների հարթակի  (transport.e-gov.am) միջոցով՝ էլեկտրոնային տարբերակով: Հարթակի մուտքը ապահովվում է «Ես Եմ» ազգային նույնականացման հարթակի միջոցով՝ Հայաստանի Հանրապետության կառավարության 2017 թվականի մայիսի 25-ի 572-Ն որոշման համաձայն:».</w:t>
      </w:r>
    </w:p>
    <w:p>
      <w:pPr/>
      <w:r>
        <w:rPr/>
        <w:t xml:space="preserve">գ. 5-րդ կետը շարադրել հետևյալ խմբագրությամբ՝</w:t>
      </w:r>
    </w:p>
    <w:p>
      <w:pPr/>
      <w:r>
        <w:rPr/>
        <w:t xml:space="preserve">«5. Ծանրաքաշ, չմասնատվող և (կամ) մեծ եզրաչափերով բեռների փոխադրումների իրականացման թույլտվություն ստանալու համար բեռնափոխադրողները տրանսպորտի  ոլորտի թվային ծառայությունների հարթակում (transport.e-gov.am) ՝էլեկտրոնային եղանակով  ներկայացնում են դիմում՝  ներառելով հետևյալ տվյալները՝</w:t>
      </w:r>
    </w:p>
    <w:p>
      <w:pPr/>
      <w:r>
        <w:rPr/>
        <w:t xml:space="preserve">  3) փոխադրման տեսակը (միջպետական, միջմարզային, ներմարզային).</w:t>
      </w:r>
    </w:p>
    <w:p>
      <w:pPr/>
      <w:r>
        <w:rPr/>
        <w:t xml:space="preserve">  4) թույլտվության տեսակը (մեկանգամյա, բազմակի).</w:t>
      </w:r>
    </w:p>
    <w:p>
      <w:pPr/>
      <w:r>
        <w:rPr/>
        <w:t xml:space="preserve">  5) բազմակի (որոշակի ժամկետով) թույլտվության տեսակի դեպքում՝ երթերի քանակը.</w:t>
      </w:r>
    </w:p>
    <w:p>
      <w:pPr/>
      <w:r>
        <w:rPr/>
        <w:t xml:space="preserve">  6) երթևեկության սկզբնակետը, վերջնակետը և երթուղին.</w:t>
      </w:r>
    </w:p>
    <w:p>
      <w:pPr/>
      <w:r>
        <w:rPr/>
        <w:t xml:space="preserve">  7) բեռնափոխադրման ժամանակահատվածը.</w:t>
      </w:r>
    </w:p>
    <w:p>
      <w:pPr/>
      <w:r>
        <w:rPr/>
        <w:t xml:space="preserve">  8) բեռը փոխադրող տրանսպորտային միջոցի (քարշակի) և կցորդ(ներ)ի մակնիշը/մոդելը և հաշվառման համարանիշները.</w:t>
      </w:r>
    </w:p>
    <w:p>
      <w:pPr/>
      <w:r>
        <w:rPr/>
        <w:t xml:space="preserve"> 10) սռնիների միջև հեռավորությունը և սռնիների բեռնվածությունը.</w:t>
      </w:r>
    </w:p>
    <w:p>
      <w:pPr/>
      <w:r>
        <w:rPr/>
        <w:t xml:space="preserve"> 11) ավտոգնացքի եզրաչափերը (երկարություն, լայնություն, բարձրություն, շրջադարձի շառավիղ՝ բեռով).</w:t>
      </w:r>
    </w:p>
    <w:p>
      <w:pPr/>
      <w:r>
        <w:rPr/>
        <w:t xml:space="preserve"> 12)բեռն ուղեկցող անձի կամ անձանց անուն ազգանունը.</w:t>
      </w:r>
    </w:p>
    <w:p>
      <w:pPr/>
      <w:r>
        <w:rPr/>
        <w:t xml:space="preserve"> 13) սույն կանոնների 21-րդ կետի կիրառման դեպքում՝ պաշտպանական տրանսպորտային միջոցի մակնիշը, մոդելը, հաշվառման համարանիշը.</w:t>
      </w:r>
    </w:p>
    <w:p>
      <w:pPr/>
      <w:r>
        <w:rPr/>
        <w:t xml:space="preserve">դ. 6-րդ կետը շարադրել հետևյալ խմբագրությամբ՝</w:t>
      </w:r>
    </w:p>
    <w:p>
      <w:pPr/>
      <w:r>
        <w:rPr/>
        <w:t xml:space="preserve">«6.Բեռնափոխադրողներին էլեկտրոնային եղանակով տրամադրվում է մեկանգամյա կամ բազմակի (որոշակի ժամկետով) փոխադրումներ իրականացնելու թույլտվություն՝ համաձայն N 2 ձևի: Մեկանգամյա թույլտվությունը տրվում է նշված ժամկետում մեկ փոխադրում իրականացնելու համար: Որոշակի ժամկետով թույլտվությունը տրվում է 1-3 ամիս ժամկետով կամ նշված ժամանակահատվածում (մինչև 3 ամիս) որոշակի թվով փոխադրումներ իրականացնելու համար:».</w:t>
      </w:r>
    </w:p>
    <w:p>
      <w:pPr/>
      <w:r>
        <w:rPr/>
        <w:t xml:space="preserve">ե.  7-րդ կետը շարադրել հետևյալ խմբագրությամբ՝</w:t>
      </w:r>
    </w:p>
    <w:p>
      <w:pPr/>
      <w:r>
        <w:rPr/>
        <w:t xml:space="preserve"> «7.Ծանրաքաշ, չմասնատվող և (կամ) մեծ եզրաչափերով բեռների փոխադրման թույլտվություն ստանալու նպատակով ներկայացված դիմումների հիման վրա ինքնաշխատ եղանակով ձևավորվում  է էլեկտրոնային գրանցամատյան, որը պարունակում է N 4 ձևում արձանագրված տեղեկատվությունը: Թույլտվության տրամադրումը համակարգող պատասխանատու ստորաբաժանումը ստուգում է յուրաքանչյուր դիմումում ներկայացված տվյալների ամբողջականությունը, ինչպես նաև քարշակի և կցորդ(ներ)ի տեխնիկական համապատասխանությունը` տվյալ փոխադրումն իրականացնելու համար՝ ըստ դիմումում նշված տվյալների:».</w:t>
      </w:r>
    </w:p>
    <w:p>
      <w:pPr/>
      <w:r>
        <w:rPr/>
        <w:t xml:space="preserve">զ. 9-րդ կետը շարադրել հետևյալ խմբագրությամբ՝</w:t>
      </w:r>
    </w:p>
    <w:p>
      <w:pPr/>
      <w:r>
        <w:rPr/>
        <w:t xml:space="preserve"> «9.Ծանրաքաշ, չմասնատվող և (կամ) մեծ եզրաչափերով բեռների փոխադրման թույլտվության տրամադրման մասին դիմումները քննարկվում են բեռնափոխադրողի կողմից տրանսպորտի ոլորտի թվային ծառայությունների հարթակում  (transport.e-gov.am) էլեկտրոնային տարբերակով սույն կանոնների 5-րդ կետով սահմանված ամբողջական տեղեկատվությունը ներկայացնելուց հետո՝ 3 աշխատանքային օրվա ընթացքում:».</w:t>
      </w:r>
    </w:p>
    <w:p>
      <w:pPr/>
      <w:r>
        <w:rPr/>
        <w:t xml:space="preserve">է. 11-րդ կետի «3» թիվը փոխարինել «2»  թվով.</w:t>
      </w:r>
    </w:p>
    <w:p>
      <w:pPr/>
      <w:r>
        <w:rPr/>
        <w:t xml:space="preserve">ը. 12-րդ կետի «կետի 1-ին և 2-րդ ենթակետերով» բառերը փոխարինել «կետով»  բառով.</w:t>
      </w:r>
    </w:p>
    <w:p>
      <w:pPr/>
      <w:r>
        <w:rPr/>
        <w:t xml:space="preserve">թ. 13-րդ կետի 1-ին ենթակետի «փաստաթղթերը թերի են» բառերը փոխարինել «տեղեկատվությունը թերի է»  բառերով, իսկ «3» թիվը փոխարինել «2» թվով.</w:t>
      </w:r>
    </w:p>
    <w:p>
      <w:pPr/>
      <w:r>
        <w:rPr/>
        <w:t xml:space="preserve">ժ. 13-րդ կետի 5-րդ ենթակետն հանել.</w:t>
      </w:r>
    </w:p>
    <w:p>
      <w:pPr/>
      <w:r>
        <w:rPr/>
        <w:t xml:space="preserve">ժա. 14-րդ կետը շարադրել հետևյալ խմբագրությամբ՝</w:t>
      </w:r>
    </w:p>
    <w:p>
      <w:pPr/>
      <w:r>
        <w:rPr/>
        <w:t xml:space="preserve">«14.Թույլտվությունը բեռնափոխադրողին տրամադրվում է էլեկտրոնային եղանակով՝ այն հասանելի դարձնելով տրանսպորտի ոլորտի թվային ծառայությունների transport.e-gov.am հարթակում՝ դիմորդի անձնական էջում և ուղարկվում է նրա էլեկտրոնային փոստի հասցեին:».</w:t>
      </w:r>
    </w:p>
    <w:p>
      <w:pPr/>
      <w:r>
        <w:rPr/>
        <w:t xml:space="preserve">ժբ. 15-րդ կետը շարադրել հետևյալ խմբագրությամբ՝</w:t>
      </w:r>
    </w:p>
    <w:p>
      <w:pPr/>
      <w:r>
        <w:rPr/>
        <w:t xml:space="preserve">«15. Լիազոր մարմինը բեռի փոխադրման ընթացքում երթևեկության անվտանգության պայմաններն ապահովելու նպատակով բեռնափոխադրումը համաձայնեցնում է Ոստիկանության իրավասու ստորաբաժանման հետ, որը տրամադրում է անցագիր՝ տրանսպորտի ոլորտի թվային ծառայությունների հարթակի  (transport.e-gov.am) միջոցով՝ էլեկտրոնային տարբերակով:».</w:t>
      </w:r>
    </w:p>
    <w:p>
      <w:pPr/>
      <w:r>
        <w:rPr/>
        <w:t xml:space="preserve">ժգ. 16-րդ կետը շարադրել հետևյալ խմբագրությամբ՝</w:t>
      </w:r>
    </w:p>
    <w:p>
      <w:pPr/>
      <w:r>
        <w:rPr/>
        <w:t xml:space="preserve"> «16. Ոստիկանության իրավասու ստորաբաժանման կողմից էլեկտրոնային թույլտվության անցագրի հատվածում լրացվում են «Փոխադրման ժամեր», «Երթևեկության թույլատրված առավելագույն արագություն», «Կամուրջներով և ուղեանցներով առավելագույն արագություն», «Սահմանափակումներ եղանակային պայմաններից», «Ուղեկցում», «Կապի ձև», «Երթևեկության ժամանակավոր կամ օպերատիվ փոփոխություն» դաշտերը:».</w:t>
      </w:r>
    </w:p>
    <w:p>
      <w:pPr/>
      <w:r>
        <w:rPr/>
        <w:t xml:space="preserve">ժդ. 17-րդ կետը շարադրել հետևյալ խմբագրությամբ՝</w:t>
      </w:r>
    </w:p>
    <w:p>
      <w:pPr/>
      <w:r>
        <w:rPr/>
        <w:t xml:space="preserve"> «17. Տրամադրված թույլտվությունը պարունակում է արագ արձագանքման ծածկագիր (QR կոդ) և 16 նիշանոց հսկիչ համար (tracking number): Բեռնափոխադրման թույլտվության և անցագրի վավերականությունը փոխադրումների նկատմամբ հսկողություն իրականացնող մարմինների կողմից կարող է իրականացվել հսկիչ համարը պաշտոնական փաստաթղթերի իսկության ստուգման պաշտոնական կայք (http://verify.e-gov.am) մուտքագրելու կամ արագ արձագանքման ծածկագրի միջոցով:».</w:t>
      </w:r>
    </w:p>
    <w:p>
      <w:pPr/>
      <w:r>
        <w:rPr/>
        <w:t xml:space="preserve">ժե. 18-րդ կետի «ընթացքում» բառից հետո լրացնել «տրանսպորտի ոլորտի թվային ծառայությունների հարթակում  (transport.e-gov.am)» բառերը.</w:t>
      </w:r>
    </w:p>
    <w:p>
      <w:pPr/>
      <w:r>
        <w:rPr/>
        <w:t xml:space="preserve">ժզ.20-րդ կետի, 20-րդ կետի 2-րդ ենթակետի և 22-րդ կետի «ճանապարհային ոստիկանություն» բառերը փոխարինել «Ոստիկանության իրավասու ստորաբաժանում» բառերով՝ համապատասխան հոլովաձևերով.</w:t>
      </w:r>
    </w:p>
    <w:p>
      <w:pPr/>
      <w:r>
        <w:rPr/>
        <w:t xml:space="preserve">ժէ. «N 1» «N 3» և «N 5» ձևերը հանել.</w:t>
      </w:r>
    </w:p>
    <w:p>
      <w:pPr/>
      <w:r>
        <w:rPr/>
        <w:t xml:space="preserve">ժը. «Ձև N 4»-ը շարադրել հետևյալ խմբագրությամբ՝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 «Ձև N 4</w:t>
      </w:r>
    </w:p>
    <w:p>
      <w:pPr/>
      <w:r>
        <w:rPr/>
        <w:t xml:space="preserve"> </w:t>
      </w:r>
    </w:p>
    <w:p>
      <w:pPr/>
      <w:r>
        <w:rPr/>
        <w:t xml:space="preserve">Ծանրաքաշ, չմասնատվող և (կամ) մեծ եզրաչափերով բեռների փոխադրման թույլտվությունների  էլեկտրոնային գրանցամատյան</w:t>
      </w:r>
    </w:p>
    <w:p>
      <w:pPr/>
      <w:r>
        <w:rPr/>
        <w:t xml:space="preserve"> </w:t>
      </w:r>
    </w:p>
    <w:tbl>
      <w:tblGrid>
        <w:gridCol w:w="990" w:type="dxa"/>
        <w:gridCol w:w="5580" w:type="dxa"/>
        <w:gridCol w:w="4395" w:type="dxa"/>
      </w:tblGrid>
      <w:tblPr>
        <w:tblW w:w="10965" w:type="dxa"/>
        <w:tblLayout w:type="autofit"/>
      </w:tblPr>
      <w:tr>
        <w:trPr/>
        <w:tc>
          <w:tcPr>
            <w:tcW w:w="990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Թույլտվության համար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2.     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Թույլտվության ամսաթիվ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Բեռնափոխադրողի անվանումը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4.     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Բեռնափոխադրողի հասցեն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Փոխադրման ժամանակահատված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6.    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Երթի տեսակ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7.     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Երթի սկզբնակետ, վերջնակետ և երթուղի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Բեռի ցուցանիշներ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Քարշակի մակնիշ/մոդել և համարանիշ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Կցորդ(ներ)ի մակնիշ/մոդել և համարանիշ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 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Վճարած գումար» 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ժը. «Ձև N 2»-ը շարադրել հետևյալ խմբագրությամբ՝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 «Ձև N 2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հրապարակմանը հաջորդող քսաներորդ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82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007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2E5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44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8A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870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2026-04-03T22:10:06+04:00</dcterms:created>
  <dcterms:modified xsi:type="dcterms:W3CDTF">2026-04-03T22:10:06+04:00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