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ՋՐԱՅԻՆ ՌԵՍՈՒՐՍՆԵՐԻ ՆԻՏՐԱՏՆԵՐՈՎ ԽՈՑԵԼԻ ՏԱՐԱԾՔՆԵՐԻ ՀԱՅՏՆԱԲԵՐՄԱՆ ՉԱՓՈՐՈՇԻՉՆԵՐ ՀԱՍՏԱՏԵԼՈՒ ԵՎ ԳՅՈՒՂԱՏՆՏԵՍԱԿԱՆ ԳՈՐԾՈՒՆԵՈՒԹՅԱՆ ՀԵՏԵՎԱՆՔՈՎ ՋՐԱՅԻՆ ՌԵՍՈՒՐՍՆԵՐԻ՝ ՆԻՏՐԱՏՆԵՐՈՎ ԱՂՏՈՏՄԱՆ ՆՎԱԶՄԱՆՆ ՈՒ ԿԱՆԽԱՐԳԵԼՄԱՆՆ ՈՒՂՂՎԱԾ ՄԻՋՈՑԱՌՈՒՄՆԵՐ ՄՇԱԿԵԼՈՒ ՄԱՍԻՆ ՀՐԱՄԱՆ</w:t>
      </w:r>
      <w:bookmarkEnd w:id="0"/>
    </w:p>
    <w:p>
      <w:pPr/>
      <w:r>
        <w:rPr/>
        <w:t xml:space="preserve">ՋՐԱՅԻՆ ՌԵՍՈՒՐՍՆԵՐԻ ՆԻՏՐԱՏՆԵՐՈՎ ԽՈՑԵԼԻ ՏԱՐԱԾՔՆԵՐԻ ՀԱՅՏՆԱԲԵՐՄԱՆ ՉԱՓՈՐՈՇԻՉՆԵՐ ՀԱՍՏԱՏԵԼՈՒ ԵՎ ԳՅՈՒՂԱՏՆՏԵՍԱԿԱՆ ԳՈՐԾՈՒՆԵՈՒԹՅԱՆ ՀԵՏԵՎԱՆՔՈՎ ՋՐԱՅԻՆ ՌԵՍՈՒՐՍՆԵՐԻ՝ ՆԻՏՐԱՏՆԵՐՈՎ ԱՂՏՈՏՄԱՆ ՆՎԱԶՄԱՆՆ ՈՒ ԿԱՆԽԱՐԳԵԼՄԱՆՆ ՈՒՂՂՎԱԾ ՄԻՋՈՑԱՌՈՒՄՆԵՐ ՄՇԱԿԵԼՈՒ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Հայաստանի Հանրապետության ջրային օրենսգրքի 69-րդ հոդվածի 2-րդ մասով.</w:t>
      </w:r>
    </w:p>
    <w:p>
      <w:pPr/>
      <w:r>
        <w:rPr/>
        <w:t xml:space="preserve"> </w:t>
      </w:r>
    </w:p>
    <w:p>
      <w:pPr/>
      <w:r>
        <w:rPr/>
        <w:t xml:space="preserve">Հ Ր Ա Մ Ա Յ ՈՒ Մ  Ե Մ՝  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1. Հաստատել ջրային ռեսուրսների նիտրատներով խոցելի տարածքների հայտնաբերման չափորոշիչներ և մշակել գյուղատնտեսական գործունեության հետևանքով ջրային ռեսուրսների նիտրատներով աղտոտման նվազմանն ու կանխարգելմանն ուղղված միջոցառումներ՝ համաձայն հավելվածի։</w:t>
      </w:r>
    </w:p>
    <w:p>
      <w:pPr/>
      <w:r>
        <w:rPr/>
        <w:t xml:space="preserve">2․ Սույն հրամանն ուժի մեջ է մտնում պաշտոնական հրապարակման հաջորդ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Հ. ՍԻՄԻԴՅԱՆ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«----»----------2024թ.</w:t>
      </w:r>
    </w:p>
    <w:p>
      <w:pPr/>
      <w:r>
        <w:rPr/>
        <w:t xml:space="preserve">ք. Երևան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                             Շրջակա միջավայրի նախարարի </w:t>
      </w:r>
      <w:br/>
      <w:r>
        <w:rPr/>
        <w:t xml:space="preserve"> 2024 թվականի ————— «—»-ի</w:t>
      </w:r>
    </w:p>
    <w:p>
      <w:pPr/>
      <w:r>
        <w:rPr/>
        <w:t xml:space="preserve">N   -Ն հրամանի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ՋՐԱՅԻՆ ՌԵՍՈՒՐՍՆԵՐԻ ՆԻՏՐԱՏՆԵՐՈՎ ԽՈՑԵԼԻ ՏԱՐԱԾՔՆԵՐԻ ՀԱՅՏՆԱԲԵՐՄԱՆ ՉԱՓՈՐՈՇԻՉՆԵՐ ԵՎ ԳՅՈՒՂԱՏՆՏԵՍԱԿԱՆ ԳՈՐԾՈՒՆԵՈՒԹՅԱՆ ՀԵՏԵՎԱՆՔՈՎ ՋՐԱՅԻՆ ՌԵՍՈՒՐՍՆԵՐԻ՝ ՆԻՏՐԱՏՆԵՐՈՎ ԱՂՏՈՏՄԱՆ ՆՎԱԶՄԱՆՆ ՈՒ ԿԱՆԽԱՐԳԵԼՄԱՆՆ ՈՒՂՂՎԱԾ ՄԻՋՈՑԱՌՈՒՄՆԵՐ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հավելվածով սահմանվում են գյուղատնտեսական գործունեության հետևանքով նիտրատներով խոցելի տարածքների որոշման չափորոշիչներն ու գնահատման ընթացակարգը, ինչպես նաև ջրային ռեսուրսների՝ նիտրատներով աղտոտման նվազմանն ու կանխարգելմանն ուղղված միջոցառումների չափանիշները։</w:t>
      </w:r>
    </w:p>
    <w:p>
      <w:pPr>
        <w:numPr>
          <w:ilvl w:val="0"/>
          <w:numId w:val="3"/>
        </w:numPr>
      </w:pPr>
      <w:r>
        <w:rPr/>
        <w:t xml:space="preserve">Նիտրատների նկատմամբ խոցելի են համարվում այն հողատարածքները, որոնց տարալվացման արդյունքում ջրային մարմիններում դիտվում է նիտրատներով աղտոտվածության աճ։</w:t>
      </w:r>
    </w:p>
    <w:p>
      <w:pPr>
        <w:numPr>
          <w:ilvl w:val="0"/>
          <w:numId w:val="3"/>
        </w:numPr>
      </w:pPr>
      <w:r>
        <w:rPr/>
        <w:t xml:space="preserve">Նիտրատներով խոցելի տարածքների հայտնաբերման համար անհրաժեշտ է բացահայտել.</w:t>
      </w:r>
    </w:p>
    <w:p>
      <w:pPr/>
      <w:r>
        <w:rPr/>
        <w:t xml:space="preserve">1) խմելու ջրի մատակարարման աղբյուր հանդիսացող այն մակերևութային և (կամ) ստորերկրյա ջրային մարմինները, որոնցում նիտրատի պարունակությունը գերազանցում է 50 մգ/լ (11,3 մգN/լ), կամ աղտոտման կանխարգելմանն ուղղված համապատասխան միջոցառումներ չձեռնարկելու դեպքում նիտրատների պարունակությունը կարող է գերազանցել 50 մգ/լ (11,3 մգN/լ),</w:t>
      </w:r>
    </w:p>
    <w:p>
      <w:pPr/>
      <w:r>
        <w:rPr/>
        <w:t xml:space="preserve">2) լճերը, ջրամբարները և գետերը, որոնցում առկա են ջրերի էվտրոֆացման նշաններ կամ աղտոտման կանխարգելմանն ուղղված համապատասխան միջոցառումներ չձեռնարկելու դեպքում առկա է դրանց էվտրոֆացման հավանականություն։</w:t>
      </w:r>
    </w:p>
    <w:p>
      <w:pPr>
        <w:numPr>
          <w:ilvl w:val="0"/>
          <w:numId w:val="4"/>
        </w:numPr>
      </w:pPr>
      <w:r>
        <w:rPr/>
        <w:t xml:space="preserve">Պայմանավորված ջրային մարմինների ջրհավաք ավազանից ազոտային միացությունների տարրալվացումով՝ առանձնացվում է նիտրատներով խոցելի տարածքների 3 տեսակ.</w:t>
      </w:r>
    </w:p>
    <w:p>
      <w:pPr/>
      <w:r>
        <w:rPr/>
        <w:t xml:space="preserve">1) ջրերի աղտոտման բարձր հավանականության տարածքներ, որտեղ հողերի լվացման և պարբերաբար լվացման պայմաններում նկատվում է հողերում ազոտի դրական հաշվեկշիռ,</w:t>
      </w:r>
    </w:p>
    <w:p>
      <w:pPr/>
      <w:r>
        <w:rPr/>
        <w:t xml:space="preserve">2)  ջրերի կարճատև աղտոտման տարածքներ, որտեղ հողերի չլվացման պայմաններում հողում նկատվում է ազոտի դրական հաշվեկշիռ,</w:t>
      </w:r>
    </w:p>
    <w:p>
      <w:pPr/>
      <w:r>
        <w:rPr/>
        <w:t xml:space="preserve">3) ջրերի հնարավոր աղտոտման տարածքներ, որտեղ հողի լվացման և պարբերաբար լվացման պայմաններում նկատվում է հողերում ազոտի հավասարակշռության խախտում։</w:t>
      </w:r>
    </w:p>
    <w:p>
      <w:pPr>
        <w:numPr>
          <w:ilvl w:val="0"/>
          <w:numId w:val="5"/>
        </w:numPr>
      </w:pPr>
      <w:r>
        <w:rPr/>
        <w:t xml:space="preserve">Նիտրատներով խոցելի տարածքներն որոշվում են ջրային ռեսուրսների մոնիթորինգի դիտակետերի առկա դիտողական տվյալների վիճակագրական վերլուծության հիման վրա։ Արդյունքների հավաստիությունն ապահովվում է առնվազն 10 տարվա ընթացքում հավաքագրված դիտողական տվյալների վերլուծությությամբ:</w:t>
      </w:r>
    </w:p>
    <w:p>
      <w:pPr>
        <w:numPr>
          <w:ilvl w:val="0"/>
          <w:numId w:val="5"/>
        </w:numPr>
      </w:pPr>
      <w:r>
        <w:rPr/>
        <w:t xml:space="preserve">Արդյունքների հիման վրա յուրաքանչյուր գետավազանի համար սահմանվում են նիտրատներով խոցելի տարածքներ, որոնք ներառվում են Ջրավազանային կառավարման պլաններում։</w:t>
      </w:r>
    </w:p>
    <w:p>
      <w:pPr>
        <w:numPr>
          <w:ilvl w:val="0"/>
          <w:numId w:val="5"/>
        </w:numPr>
      </w:pPr>
      <w:r>
        <w:rPr/>
        <w:t xml:space="preserve">Նիտրատներով խոցելի տարածքների վերանայումն իրականացվում է վեց տարին մեկ անգամ ջրավազանային կառավարման պլանների վերանայման ընթացքում` վերջին 5 տարում կուտակված մոնիտորինգային դիտարկումների տվյալների և վիճակագրական վերլուծության հիման վրա: Յուրաքանչյուր վերանայման համար հողում ազոտի մնացորդը հաշվարկվում է վարչական շրջանից ոչ բարձր մակարդակով:</w:t>
      </w:r>
    </w:p>
    <w:p>
      <w:pPr>
        <w:numPr>
          <w:ilvl w:val="0"/>
          <w:numId w:val="5"/>
        </w:numPr>
      </w:pPr>
      <w:r>
        <w:rPr/>
        <w:t xml:space="preserve">Գյուղատնտեսական գործունեության հետևանքով ջրային ռեսուրսների նիտրատներով աղտոտումը նվազեցնելու կամ կանխարգելելու նպատակով մշակվում են միջոցառումներ, որոնք պետք է ներառեն ազոտական պարարտանյութերի կիրառման և անասնագոմաղբի պահեստավորման սահմանափակումներ՝ հաշվի առնելով տվյալ խոցելի տարածքի բնութագրերը, մասնավորապես՝ հողի տեսակը և թեքությունը, կլիմայական պայմանները, տեղումները, ոռոգումը, հողօգտագործման և գյուղատնտեսական պրակտիկաները, ներառյալ ցանքաշրջանառությունը։</w:t>
      </w:r>
    </w:p>
    <w:p>
      <w:pPr>
        <w:numPr>
          <w:ilvl w:val="0"/>
          <w:numId w:val="5"/>
        </w:numPr>
      </w:pPr>
      <w:r>
        <w:rPr/>
        <w:t xml:space="preserve">Միջոցառումները տվյալ խոցելի տարածքում պետք է ապահովեն հավասարակշռություն մշակաբույսերի համար ազոտի պարունակության կանխատեսելի պահանջների և հողից, պարարտանյութերից մշակաբույսերին անցնող ազոտի չափերի միջև։</w:t>
      </w:r>
    </w:p>
    <w:p>
      <w:pPr>
        <w:numPr>
          <w:ilvl w:val="0"/>
          <w:numId w:val="5"/>
        </w:numPr>
      </w:pPr>
      <w:r>
        <w:rPr/>
        <w:t xml:space="preserve">Միջոցառումները կապահովեն, որ յուրաքանչյուր գյուղի տնտեսության կամ անասունների ֆերմայի դեպքում, յուրաքանչյուր տարի հողին արհեստական և բնական ճանապարհով խառնվող անասունների գոմաղբի քանակությունը չգերազանցի մեկ հեկտարի համար նախատեսված քանակությունը։ Գոմաղբի քանակությունը հաշվարկվում է անասունների գլխաքանակով՝ հաշվի առնելով միջազգային ընդունված գործակիցները։ Մեկ հեկտարի համար միջազգայնորեն սահմանված քանակությունը 170 կգ ազոտ պարունակող գոմաղբի քանակն է: Սկզբնական փուլում կարող է սահմանվել այլ քանակություն՝ չխոչընդոտելով նիտրատներով աղտոտման նվազմանն ու կանխարգելմանն ուղղված գործընթացները։</w:t>
      </w:r>
    </w:p>
    <w:p>
      <w:pPr>
        <w:numPr>
          <w:ilvl w:val="0"/>
          <w:numId w:val="5"/>
        </w:numPr>
      </w:pPr>
      <w:r>
        <w:rPr/>
        <w:t xml:space="preserve">Գյուղատնտեսական գործունեության հետևանքով ջրային ռեսուրսների նիտրատներով աղտոտման նվազմանն ու կանխարգելմանն ուղղված միջոցառումները սահմանվում են ջրավազանային կառավարման պլաններով։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85B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9D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46EE3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7616A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2026-04-01T02:51:09+04:00</dcterms:created>
  <dcterms:modified xsi:type="dcterms:W3CDTF">2026-04-01T02:51:09+04:00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