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քաղաքացիական օրենսգրքում փոփոխություններ և լրացումներ կատարելու մասին» Հայաստանի Հանրապետության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ՔԱՂԱՔԱՑԻԱԿԱՆ</w:t>
      </w:r>
      <w:r>
        <w:rPr/>
        <w:t xml:space="preserve"> </w:t>
      </w:r>
      <w:r>
        <w:rPr>
          <w:b w:val="1"/>
          <w:bCs w:val="1"/>
        </w:rPr>
        <w:t xml:space="preserve">ՕՐԵՆՍԳՐՔՈՒՄ</w:t>
      </w:r>
      <w:r>
        <w:rPr>
          <w:b w:val="1"/>
          <w:bCs w:val="1"/>
        </w:rPr>
        <w:t xml:space="preserve"> ՓՈՓՈԽՈՒԹՅՈՒՆՆԵՐ ԵՎ ԼՐԱՑՈՒՄ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 </w:t>
      </w:r>
      <w:r>
        <w:rPr/>
        <w:t xml:space="preserve">Հայաստանի Հանրապետության 1998 թվականի մայիսի 5-ի քաղաքացիական օրենսգրքի (այսուհետ՝ Օրենսգիրք) 225.1-րդ հոդվածի 6-րդ մասը շարադրել հետևյալ խմբագրությամբ.</w:t>
      </w:r>
    </w:p>
    <w:p>
      <w:pPr>
        <w:jc w:val="both"/>
      </w:pPr>
      <w:r>
        <w:rPr/>
        <w:t xml:space="preserve">«Ապահովման պայմանագրով ապահովված իրավունքի առարկան որոշվում է  այդ առարկայի նույնացման համար բավարար ընդհանուր նկարագրությամբ:»: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</w:t>
      </w:r>
      <w:r>
        <w:rPr/>
        <w:t xml:space="preserve">  Օրենսգրքի 226-րդ հոդվածի 1-ին մասը լրացնել հետևյալ բովանդակությամբ նոր նախադասությամբ.</w:t>
      </w:r>
    </w:p>
    <w:p>
      <w:pPr>
        <w:jc w:val="both"/>
      </w:pPr>
      <w:r>
        <w:rPr/>
        <w:t xml:space="preserve">«Գրավը կարող է տարածվել գրավատուի ողջ շարժական գույքի, շարժական գույքի մասերի, անբաժանելի շարժական գույքի և շարժական գույքի ընդհանուր տեսակների վրա:»: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3.</w:t>
      </w:r>
      <w:r>
        <w:rPr/>
        <w:t xml:space="preserve">  Օրենսգրքի 232-րդ հոդվածի 1-ին մասի 2-րդ պարբերությունը շարադրել հետևյալ խմբագրությամբ.</w:t>
      </w:r>
    </w:p>
    <w:p>
      <w:pPr>
        <w:jc w:val="both"/>
      </w:pPr>
      <w:r>
        <w:rPr/>
        <w:t xml:space="preserve">«Գրավի իրավունքը տարածվում է  գրավ դրված գույքի օգտագործման արդյունքում ստացված պտուղների, արտադրանքի և եկամուտների վրա, եթե այլ բան նախատեսված չէ պայմանագրով:»: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4.</w:t>
      </w:r>
      <w:r>
        <w:rPr/>
        <w:t xml:space="preserve"> Սույն օրենքն ուժի մեջ է մտնում պաշտոնական հրապարակման օրվան հաջորդող տասներորդ օրը:      </w:t>
      </w:r>
    </w:p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2026-04-04T03:05:29+04:00</dcterms:created>
  <dcterms:modified xsi:type="dcterms:W3CDTF">2026-04-04T03:05:29+04:00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