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ԴՐՈՇԻ ՄԱՍԻՆ» ՕՐԵՆՔՈՒՄ ՓՈՓՈԽՈՒԹՅՈՒՆՆԵՐ  ԿԱՏԱՐԵԼՈՒ ՄԱՍԻՆ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ԴՐՈՇԻ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 ՓՈՓՈԽՈՒԹՅՈՒՆՆԵՐ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 «Հայաստանի Հանրապետության դրոշի մասին» 2006 թվականի հունիսի 15-ի ՀՕ-149-Ն օրենքի (այսուհետ՝ օրենք) 2-րդ հոդվածից հանել «Սույն մասով նախատեսված` Հայաստանի Հանրապետության դրոշի լայնության և երկարության հարաբերության չափերի պահպանմամբ կարող է օգտագործվել նաև փոքր կամ մեծ չափի դրոշ:» նախադասությունը։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 Օրենքի 3-րդ հոդվածի 7-րդ մասը շարադրել հետևյալ  խմբագրությամբ.</w:t>
      </w:r>
    </w:p>
    <w:p>
      <w:pPr/>
      <w:r>
        <w:rPr/>
        <w:t xml:space="preserve">«7.Հայաստանի Հանրապետության դրոշը կարող է ամրացվել Հանրապետության նախագահի և Հայաստանի Հանրապետության վարչապետի փոխադրամիջոցների վրա, Ազգային ժողովի նախագահի, Հայաստանի Հանրապետության արտաքին գործերի նախարարի փոխադրամիջոցների վրա` միայն արտասահմանյան պատվիրակությունների այցերի ժամանակ` Հայաստանի Հանրապետության պետական արարողակարգին համապատասխան, օտարերկրյա պետությունում Հայաստանի Հանրապետության դիվանագիտական ծառայության մարմինների ղեկավարների փոխադրամիջոցների վրա` ընդունող պետությունների արարողակարգին համապատասխան:»: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 Օրենքի 7-րդ հոդվածը շարադրել հետևյալ խմբագրությամբ.</w:t>
      </w:r>
    </w:p>
    <w:p>
      <w:pPr/>
      <w:r>
        <w:rPr/>
        <w:t xml:space="preserve"> </w:t>
      </w:r>
    </w:p>
    <w:tbl>
      <w:tblGrid>
        <w:gridCol w:w="204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40" w:type="dxa"/>
            <w:noWrap/>
          </w:tcPr>
          <w:p>
            <w:pPr/>
            <w:r>
              <w:rPr/>
              <w:t xml:space="preserve">«</w:t>
            </w:r>
            <w:r>
              <w:rPr>
                <w:b w:val="1"/>
                <w:bCs w:val="1"/>
              </w:rPr>
              <w:t xml:space="preserve">Հոդված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7.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Հայաստանի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Հանրապետության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դրոշին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ներկայացվող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պահանջները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դրոշը պետք է լինի ամբողջական, մաքուր և չգունաթափված: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դրոշի երկարության հարաբերությունը դրոշաձողի երկարության նկատմամբ կարող է լինել 1:1,7-ից ոչ պակաս: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դրոշը ուղղահայաց դիրքով կախելու դեպքում պետք է ժամացույցի սլաքի ուղղությանը հակառակ 90 աստիճանով շրջել այնպես, որ դեմքով դեպի դրոշը կանգնելիս կարմիր, կապույտ, նարնջագույն գույների հերթականությունը ձախից աջ չխախտվի:</w:t>
      </w:r>
    </w:p>
    <w:p>
      <w:pPr>
        <w:numPr>
          <w:ilvl w:val="0"/>
          <w:numId w:val="2"/>
        </w:numPr>
      </w:pPr>
      <w:r>
        <w:rPr/>
        <w:t xml:space="preserve">Դրոշաձողի վրա բարձրացված Հայաստանի Հանրապետության դրոշի ներքևի մասը պետք է գտնվի գետնից 2,5 մետրից ոչ պակաս բարձրության վրա:</w:t>
      </w:r>
    </w:p>
    <w:p>
      <w:pPr/>
      <w:r>
        <w:rPr/>
        <w:t xml:space="preserve">5․ Հայաստանի Հանրապետությունում փակ տարածքներում դրոշի օգտագործման չափ է մինչև 2,8մ դրոշաձողի վրա  առավելագույնը 1մ։2մ-ը, իսկ բացօթյա տարածքերում մինչև 10մ դրոշակաձողի վրա առավելագույնը 2մ։4մ։ Ավելի մեծ չափի դրոշի տեղադրման դեպքում անհրաժեշտ է գրավոր դիմումի հիման վրա համաձայնեցնել Հայաստանի Հանրապետության արտաքին գործերի նախարարության պետական արարողակարգի ծառայության հետ։</w:t>
      </w:r>
    </w:p>
    <w:p>
      <w:pPr/>
      <w:r>
        <w:rPr/>
        <w:t xml:space="preserve">Սույն դրույթը կիրառելի է նաև Հայաստանի Հանրապետության տարածքում օտարերկրյա պետությունների դրոշների տեղադրման դեպքում։</w:t>
      </w:r>
    </w:p>
    <w:p>
      <w:pPr>
        <w:numPr>
          <w:ilvl w:val="0"/>
          <w:numId w:val="3"/>
        </w:numPr>
      </w:pPr>
      <w:r>
        <w:rPr/>
        <w:t xml:space="preserve">Սույն օրենքով սահմանված կարգով մշտապես բարձրացված Հայաստանի Հանրապետության դրոշը գիշերային ժամերին պետք է լուսավորվի: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դրոշին ներկայացվող պահանջների պահպանման պարտականությունը սահմանվում է հանրային իշխանության մարմիններում, ինչպես նաև ուսումնական հաստատությունների, պետական գիտական, մարզական և մշակութային կազմակերպությունների, պետության և համայնքի հիմնադրած այլ իրավաբանական անձանց աշխատանքային կարգապահական ներքին կանոններով:»:</w:t>
      </w:r>
    </w:p>
    <w:p>
      <w:pPr/>
      <w:r>
        <w:rPr/>
        <w:t xml:space="preserve"> </w:t>
      </w:r>
    </w:p>
    <w:tbl>
      <w:tblGrid>
        <w:gridCol w:w="10590" w:type="dxa"/>
        <w:gridCol w:w="285" w:type="dxa"/>
      </w:tblGrid>
      <w:tblPr>
        <w:tblW w:w="5100" w:type="pct"/>
        <w:tblLayout w:type="autofit"/>
      </w:tblPr>
      <w:tr>
        <w:trPr/>
        <w:tc>
          <w:tcPr>
            <w:tcW w:w="10590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  Հոդված 4.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Եզրափակիչ մաս և անցումային դրույթ</w:t>
            </w:r>
          </w:p>
          <w:tbl>
            <w:tblGrid>
              <w:gridCol w:w="4950" w:type="dxa"/>
            </w:tblGrid>
            <w:tblPr>
              <w:tblW w:w="4950" w:type="pct"/>
              <w:tblLayout w:type="autofit"/>
            </w:tblPr>
            <w:tr>
              <w:trPr/>
              <w:tc>
                <w:tcPr>
                  <w:tcW w:w="495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1. Սույն օրենքն ուժի մեջ է մտնում պաշտոնական հրապարակման օրվան հաջորդող տասներորդ օրը։</w:t>
            </w:r>
          </w:p>
          <w:p>
            <w:pPr/>
            <w:r>
              <w:rPr/>
              <w:t xml:space="preserve">2. Սույն օրենքն ուժի մեջ մտնելուց հետո՝ եռամսյա ժամկետում, հանրային իշխանության մարմինները, ինչպես նաև ուսումնական հաստատությունների, պետական գիտական, մարզական և մշակութային կազմակերպությունների, պետության և համայնքի հիմնադրած այլ իրավաբանական անձինք աշխատանքային կարգապահական ներքին կանոններով սահմանում են սույն օրենքով Հայաստանի Հանրապետության դրոշին ներկայացվող պահանջների պահպանման պարտականությունը:</w:t>
            </w:r>
          </w:p>
        </w:tc>
        <w:tc>
          <w:tcPr>
            <w:tcW w:w="2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59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Հանրապետության նախագահ                                                    Վ. Խաչատուրյան</w:t>
            </w:r>
          </w:p>
        </w:tc>
        <w:tc>
          <w:tcPr>
            <w:tcW w:w="28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F02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38FE1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2026-03-31T11:45:22+04:00</dcterms:created>
  <dcterms:modified xsi:type="dcterms:W3CDTF">2026-03-31T11:45:22+04:00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