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ՀՐԱԶԴԱՆ ՀԱՄԱՅՆՔԻ ԱՎԱԳԱՆՈՒ 2023 ԹՎԱԿԱՆԻ ԴԵԿՏԵՄԲԵՐԻ 7-Ի N 199-Ն ՈՐՈՇՄԱՆ ՄԵՋ ԼՐԱՑՈՒՄ ԿԱՏԱՐԵԼՈՒ ՄԱՍԻՆ</w:t>
      </w:r>
      <w:bookmarkEnd w:id="0"/>
    </w:p>
    <w:p>
      <w:pPr>
        <w:jc w:val="end"/>
      </w:pPr>
      <w:r>
        <w:rPr/>
        <w:t xml:space="preserve">ՆԱԽԱԳԻԾ </w:t>
      </w:r>
    </w:p>
    <w:p>
      <w:pPr>
        <w:jc w:val="center"/>
      </w:pPr>
      <w:r>
        <w:rPr/>
        <w:t xml:space="preserve">ՀԱՅԱՍՏԱՆԻ  ՀԱՆՐԱՊԵՏՈՒԹՅՈՒՆ</w:t>
      </w:r>
      <w:br/>
      <w:r>
        <w:rPr/>
        <w:t xml:space="preserve"> ԿՈՏԱՅՔԻ  ՄԱՐԶԻ</w:t>
      </w:r>
      <w:br/>
      <w:r>
        <w:rPr/>
        <w:t xml:space="preserve"> ՀՐԱԶԴԱՆ ՀԱՄԱՅՆՔԻ ԱՎԱԳԱՆԻ</w:t>
      </w:r>
      <w:br/>
      <w:r>
        <w:rPr/>
        <w:t xml:space="preserve">  ՈՐՈՇՈՒՄ – Ն</w:t>
      </w:r>
    </w:p>
    <w:p>
      <w:pPr>
        <w:jc w:val="center"/>
      </w:pPr>
      <w:r>
        <w:rPr/>
        <w:t xml:space="preserve">Հունվար 2024թ.                                                                                    ք. Հրազդան  </w:t>
      </w:r>
    </w:p>
    <w:tbl>
      <w:tblGrid>
        <w:gridCol w:w="5000" w:type="dxa"/>
      </w:tblGrid>
      <w:tblPr>
        <w:tblW w:w="4300" w:type="pct"/>
        <w:tblLayout w:type="autofit"/>
      </w:tblPr>
      <w:tr>
        <w:trPr/>
        <w:tc>
          <w:tcPr>
            <w:tcW w:w="5000" w:type="pct"/>
            <w:noWrap/>
          </w:tcPr>
          <w:p>
            <w:pPr>
              <w:jc w:val="center"/>
            </w:pPr>
            <w:r>
              <w:rPr/>
              <w:t xml:space="preserve">ՀԱՅԱՍՏԱՆԻ ՀԱՆՐԱՊԵՏՈՒԹՅԱՆ ԿՈՏԱՅՔԻ ՄԱՐԶԻ ՀՐԱԶԴԱՆ ՀԱՄԱՅՆՔԻ ԱՎԱԳԱՆՈՒ 2023 ԹՎԱԿԱՆԻ ԴԵԿՏԵՄԲԵՐԻ 7-Ի N 199-Ն ՈՐՈՇՄԱՆ ՄԵՋ ԼՐԱՑՈՒՄ ԿԱՏԱՐԵԼՈՒ ՄԱՍԻՆ</w:t>
            </w:r>
          </w:p>
        </w:tc>
      </w:tr>
    </w:tbl>
    <w:p>
      <w:pPr/>
      <w:r>
        <w:rPr/>
        <w:t xml:space="preserve">Ղեկավարվելով «Նորմատիվ իրավական ակտերի մասին» օրենքի 33-րդ և 34-րդ հոդվածներով.</w:t>
      </w:r>
    </w:p>
    <w:p>
      <w:pPr>
        <w:jc w:val="center"/>
      </w:pPr>
      <w:r>
        <w:rPr/>
        <w:t xml:space="preserve">Հրազդան համայնքի ավագանին  </w:t>
      </w:r>
      <w:r>
        <w:rPr>
          <w:u w:val="single"/>
        </w:rPr>
        <w:t xml:space="preserve">ՈՐՈՇՈՒՄ Է՝</w:t>
      </w:r>
    </w:p>
    <w:p>
      <w:pPr/>
      <w:r>
        <w:rPr/>
        <w:t xml:space="preserve">1.Հայաստանի Հանրապետության Կոտայքի մարզի Հրազդան համայնքի ավագանու 2023 թվականի դեկտեմբերի 7-ի «Հայաստանի Հանրապետության Կոտայքի մարզի Հրազդանի համայնքապետարանի ենթակայության արտադպրոցական դաստիարակության, մշակութային և նախադպրոցական ուսումնական հաստատությունների կողմից 2024 թվականին մատուցվող ծառայությունների դիմաց տեղական վճարի դրույքաչափերը և կիրառվող արտոնությունները հաստատելու մասին» N 199-Ն որոշումը լրացնել 5.1 կետով հետևյալ բովանդակությամբ` «5.1. Հրազդանի համայնքապետարանի ենթակայության «Հրազդանի դրամատիկական թատրոն-մշակութային կենտրոն» համայնքային ոչ առևտրային կազմակերպության ծառայությունից օգտվող մեկ երեխայի համար մատուցված ծառայությունների դիմաց տեղական վճարի չափը սահմանել թատերական խմբի համար ամսական 10000 (տասը հազար) դրամ:»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center"/>
      </w:pPr>
      <w:r>
        <w:rPr>
          <w:b w:val="1"/>
          <w:bCs w:val="1"/>
        </w:rPr>
        <w:t xml:space="preserve">ՀԱՄԱՅՆՔԻ ՂԵԿԱՎԱՐ՝                                          Ս. ՄԻՔԱՅԵԼՅԱՆ</w:t>
      </w:r>
    </w:p>
    <w:p>
      <w:pPr/>
      <w:r>
        <w:rPr>
          <w:b w:val="1"/>
          <w:bCs w:val="1"/>
        </w:rPr>
        <w:t xml:space="preserve">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2026-04-03T13:25:14+04:00</dcterms:created>
  <dcterms:modified xsi:type="dcterms:W3CDTF">2026-04-03T13:25:14+04:00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