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</w:t>
      </w:r>
      <w:r>
        <w:rPr>
          <w:b w:val="1"/>
          <w:bCs w:val="1"/>
        </w:rPr>
        <w:t xml:space="preserve">ՀԱՆՐԱՊԵՏՈՒԹՅԱՆ ՔՐԵԱԿԱՆ ՕՐԵՆՍԳՐՔՈՒՄ </w:t>
      </w:r>
    </w:p>
    <w:p>
      <w:pPr>
        <w:jc w:val="center"/>
      </w:pPr>
      <w:r>
        <w:rPr>
          <w:b w:val="1"/>
          <w:bCs w:val="1"/>
        </w:rPr>
        <w:t xml:space="preserve">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2021 թվականի մայիսի 5-ի Հայաստանի Հանրապետության քրեական օրենսգրքի 289-րդ հոդվածի՝</w:t>
      </w:r>
    </w:p>
    <w:p>
      <w:pPr/>
      <w:r>
        <w:rPr/>
        <w:t xml:space="preserve">1) վերնագրում «դրոշմապիտակներ» բառից հետո լրացնել «կամ հսկիչ (նույնականացման) նշաններ» բառերը,</w:t>
      </w:r>
    </w:p>
    <w:p>
      <w:pPr/>
      <w:r>
        <w:rPr/>
        <w:t xml:space="preserve">2) 1-ին մասում «դրոշմապիտակ» բառից հետո լրացնել «կամ հսկիչ (նույնականացման) նշան» բառերը․</w:t>
      </w:r>
    </w:p>
    <w:p>
      <w:pPr/>
      <w:r>
        <w:rPr/>
        <w:t xml:space="preserve">2) 3-րդ մասում «դրոշմապիտակները» բառից հետո լրացնել «կամ հսկիչ (նույնականացման) նշանները» բառերը։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2026-03-31T05:46:00+04:00</dcterms:created>
  <dcterms:modified xsi:type="dcterms:W3CDTF">2026-03-31T05:46:00+04:00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