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ՀԱՐԿԱՅԻՆ ՕՐԵՆՍԳՐՔՈՒՄ ԼՐԱՑՈՒՄՆԵՐ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(այսուհետ՝ Օրենսգիրք) 345-րդ հոդվածում լրացնել հետևյալ բովանդակությամբ 12.1-ին մաս․</w:t>
      </w:r>
    </w:p>
    <w:p>
      <w:pPr/>
      <w:r>
        <w:rPr/>
        <w:t xml:space="preserve">«12.1.    Հսկիչ գնմամբ (գնումներով) ձեռք բերված և վերադարձված ապրանքների փաթեթավորմանը ներկայացվող պահանջների խախտման դեպքում (բացվել է փաթեթավորումը), երբ խախտումը կարող է հանգեցնել այդ ապրանքների սկզբնական փաթեթավորման վերականգնման և այդ տեսքով օտարման անհնարինության, հարկ վճարողին տրամադրվում է փոխհատուցում՝ այդ ապրանքների՝ հսկիչ գնմամբ ձեռք բերման արժեքի տասը տոկոսի չափով։ Սույն մասում նշված փոխհատուցումը տրամադրվում է հսկիչ գնումների ֆինանսական աղբյուրների միջոցների հաշվին՝ Կառավարության հաստատած կարգով և ժամկետներում։»։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391-րդ հոդվածում լրացնել հետևյալ բովանդակությամբ 8-րդ մաս․</w:t>
      </w:r>
    </w:p>
    <w:p>
      <w:pPr/>
      <w:r>
        <w:rPr/>
        <w:t xml:space="preserve">«8. Սույն գլխի կիրառության իմաստով՝ Օրենսգրքի 413-րդ հոդվածի 1-ին մասի 1-ին կետում նշված դեպքում դրոշմավորման պարտավորություն է կրում դրոշմապիտակներով կամ դրոշմանիշերով դրոշմավորման ենթակա՝ չդրոշմավորված, ինչպես նաև ապօրինի ձեռք բերված դրոշմապիտակներով կամ դրոշմանիշերով դրոշմավորված ապրանքների՝ օրենքով սահմանված՝ հրապարակային սակարկությունների կազմակերպիչը:»։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413-րդ հոդվածի 1-ին մասի 1-ին կետում «դեպքում» բառից հետո լրացնել «։ Սույն կետում նշված՝ բռնագրավված ապրանքները ենթակա են օտարման օրենքով սահմանված՝ հրապարակային սակարկությունների միջոցով» բառերը։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2026-03-31T14:45:00+04:00</dcterms:created>
  <dcterms:modified xsi:type="dcterms:W3CDTF">2026-03-31T14:45:00+04:00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