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«Փոստային կապի գործունեության ոլորտի հաշվետվությունների և վիճակագրական տվյալների ներկայացման և վերլուծության իրականացման կարգը հաստատելու մասին» ՀՀ բարձր տեխնոլոգիական արդյունաբերության նախարարի հրամանի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Փոստային կապի գործունեության ոլորտի հաշվետվությունների ԵՎ վիճակագրական տվյալների ներկայացման ԵՎ վերլուծության իրականացման կարգը հաստատելու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«Փոստային կապի մասին» օրենքի 10-րդ հոդվածի երկրորդ մասի «ժզ» կետով.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ՀՐԱՄԱՅՈՒՄ ԵՄ՝</w:t>
      </w:r>
    </w:p>
    <w:p>
      <w:pPr>
        <w:numPr>
          <w:ilvl w:val="0"/>
          <w:numId w:val="2"/>
        </w:numPr>
      </w:pPr>
      <w:r>
        <w:rPr/>
        <w:t xml:space="preserve">Հաստատել փոստային կապի գործունեության ոլորտի հաշվետվությունների և վիճակագրական տվյալների ներկայացման և վերլուծության իրականացման կարգը`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հրամանն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ՌՈԲԵՐՏ ԽԱՉԱՏՐՅԱՆ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 </w:t>
      </w:r>
    </w:p>
    <w:p>
      <w:pPr/>
      <w:br/>
      <w:r>
        <w:rPr>
          <w:b w:val="1"/>
          <w:bCs w:val="1"/>
        </w:rPr>
        <w:t xml:space="preserve"> 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բարձր տեխնոլոգիական արդյունաբերության</w:t>
      </w:r>
    </w:p>
    <w:p>
      <w:pPr>
        <w:jc w:val="end"/>
      </w:pPr>
      <w:r>
        <w:rPr/>
        <w:t xml:space="preserve">նախարարի 2023 թվականի</w:t>
      </w:r>
    </w:p>
    <w:p>
      <w:pPr>
        <w:jc w:val="end"/>
      </w:pPr>
      <w:r>
        <w:rPr/>
        <w:t xml:space="preserve">“______”  “_____________” N –---Ն  հրամանի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ԿԱՐԳ</w:t>
      </w:r>
    </w:p>
    <w:p>
      <w:pPr>
        <w:jc w:val="center"/>
      </w:pPr>
      <w:r>
        <w:rPr>
          <w:b w:val="1"/>
          <w:bCs w:val="1"/>
        </w:rPr>
        <w:t xml:space="preserve">Փոստային կապի գործունեության ոլորտի հաշվետվությունների ԵՎ վիճակագրական տվյալների ներկայացման ԵՎ վերլուծության իրականացման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ԸՆԴՀԱՆՈՒՐ</w:t>
      </w:r>
      <w:r>
        <w:rPr/>
        <w:t xml:space="preserve"> </w:t>
      </w:r>
      <w:r>
        <w:rPr>
          <w:b w:val="1"/>
          <w:bCs w:val="1"/>
        </w:rPr>
        <w:t xml:space="preserve">ԴՐՈՒՅԹՆԵՐ</w:t>
      </w:r>
    </w:p>
    <w:p>
      <w:pPr>
        <w:jc w:val="center"/>
      </w:pP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կարգով սահմանվում է փոստային և սուրհանդակային գործունեություն իրականացնող իրավաբանական անձանց ու անհատ ձեռնարկատերերի կողմից փոստային կապի ոլորտի հաշվետվությունների և վիճակագրական տվյալների ներկայացման և հավաքագրված տվյալների հիման վրա վերլուծության իրականացման ընթացակարգը:</w:t>
      </w:r>
    </w:p>
    <w:p>
      <w:pPr>
        <w:numPr>
          <w:ilvl w:val="0"/>
          <w:numId w:val="4"/>
        </w:numPr>
      </w:pPr>
      <w:r>
        <w:rPr/>
        <w:t xml:space="preserve">Փոստային և սուրհանդակային գործունեություն իրականացնող իրավաբանական անձանց ու անհատ ձեռնարկատերերի կողմից ներկայացված հաշվետվությունները տեղեկություններ են պարունակում Հայաստանի Հանրապետությունում փոստի կապի բնագավառի ցուցանիշների վերաբերյալ` համաձայն Ձև 1-ի: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բարձր տեխնոլոգիական արդյունաբերության նախարարության (այսուհետ՝ Նախարարություն) համապատասխան ստորաբաժանումը հաշվետվություններում ներառված տվյալների հիման վրա իրականացնում է վերլուծություն, որի արդյունքում կազմում է ամփոփ տեղեկանք՝ համաձայն Ձև 2-ի:</w:t>
      </w:r>
    </w:p>
    <w:p>
      <w:pPr>
        <w:numPr>
          <w:ilvl w:val="0"/>
          <w:numId w:val="4"/>
        </w:numPr>
      </w:pPr>
      <w:r>
        <w:rPr/>
        <w:t xml:space="preserve">4. Փոստային և սուրհանդակային գործունեություն իրականացնող իրավաբանական անձանց ու անհատ ձեռնարկատերերի կողմից ներկայացված տվյալները ամփոփվում և թարմացվում են մինչև յուրաքանչյուր հաշվետու կիսամյակին հաջորդող ամսվա ավարտը:</w:t>
      </w:r>
    </w:p>
    <w:p>
      <w:pPr>
        <w:numPr>
          <w:ilvl w:val="0"/>
          <w:numId w:val="4"/>
        </w:numPr>
      </w:pPr>
      <w:r>
        <w:rPr/>
        <w:t xml:space="preserve">5. Վերլուծության արդյունքում ամփոփված տվյալները հրապարակվում է Նախարարության https://hightech.gov.am կայքէջում: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ՀԱՇՎԵՏՎՈՒԹՅՈՒՆՆԵՐԻ</w:t>
      </w:r>
      <w:r>
        <w:rPr/>
        <w:t xml:space="preserve"> </w:t>
      </w:r>
      <w:r>
        <w:rPr>
          <w:b w:val="1"/>
          <w:bCs w:val="1"/>
        </w:rPr>
        <w:t xml:space="preserve">ՆԵՐԿԱՅԱՑ</w:t>
      </w:r>
      <w:r>
        <w:rPr>
          <w:b w:val="1"/>
          <w:bCs w:val="1"/>
        </w:rPr>
        <w:t xml:space="preserve">ՈՒՄ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6"/>
        </w:numPr>
      </w:pPr>
      <w:r>
        <w:rPr/>
        <w:t xml:space="preserve">6. Փոստային և սուրհանդակային գործունեություն իրականացնող իրավաբանական անձինք ու անհատ ձեռնարկատերերը հաշվետվությունները ուղեկցող գրությամբ Նախարարություն են ներկայացնում փոստով կամ էլեկտրոնային փոստով կամ էլեկտրոնային եղանակով:</w:t>
      </w:r>
    </w:p>
    <w:p>
      <w:pPr>
        <w:numPr>
          <w:ilvl w:val="0"/>
          <w:numId w:val="6"/>
        </w:numPr>
      </w:pPr>
      <w:r>
        <w:rPr/>
        <w:t xml:space="preserve">7. Էլեկտրոնային եղանակով հաշվետվությունները ներկայացվում են Նախարարության Էլեկտրոնային փոստի կամ ինտերնետային կայքէջի հաշվետվությունների ներկայացման համակարգի միջոցով:</w:t>
      </w:r>
    </w:p>
    <w:p>
      <w:pPr>
        <w:numPr>
          <w:ilvl w:val="0"/>
          <w:numId w:val="6"/>
        </w:numPr>
      </w:pPr>
      <w:r>
        <w:rPr/>
        <w:t xml:space="preserve">Էլեկտրոնային փոստով ներկայացման դեպքում՝ հաշվետվության ներկայացման օր է համարվում էլեկտրոնային նամակի առաքման օրը:</w:t>
      </w:r>
    </w:p>
    <w:p>
      <w:pPr>
        <w:numPr>
          <w:ilvl w:val="0"/>
          <w:numId w:val="6"/>
        </w:numPr>
      </w:pPr>
      <w:r>
        <w:rPr/>
        <w:t xml:space="preserve">Նախարարության ինտերնետային կայքէջի հաշվետվությունների ներկայացման համակարգի միջոցով ներկայացման դեպքում՝ այդ համակարգի կողմից ինքնաշխատ եղանակով հաշվետվություն ներկայացրած անձին ստացումը և գրանցումը հավաստող համապատասխան էլեկտրոնային ծանուցման մեջ նշված օրը:</w:t>
      </w:r>
    </w:p>
    <w:p>
      <w:pPr>
        <w:numPr>
          <w:ilvl w:val="0"/>
          <w:numId w:val="6"/>
        </w:numPr>
      </w:pPr>
      <w:r>
        <w:rPr/>
        <w:t xml:space="preserve">10. Հաշվետվությունները էլեկտրոնային փոստով ուղարկելու դեպքում՝ հաշվետվություններ ներկայացնող անձինք ներբեռնում են այդ հաշվետվության ձևը Նախարարության պաշտոնական ինտերնետային կայքէջից (https://hightech.gov.am), լրացնում և ուղեկցող գրության սկանավորված տարբերակների հետ միասին ուղարկում Նախարարության պաշտոնական ինտերնետային կայքում նշված համապատասխան էլեկտրոնային փոստի հասցեով:</w:t>
      </w:r>
    </w:p>
    <w:p>
      <w:pPr>
        <w:numPr>
          <w:ilvl w:val="0"/>
          <w:numId w:val="6"/>
        </w:numPr>
      </w:pPr>
      <w:r>
        <w:rPr/>
        <w:t xml:space="preserve">Փոստային եղանակով ներկայացման դեպքում՝ հաշվետվության ներկայացման օր է համարվում նամակը փոստային բաժանմունքում ընդունվելու օրվա օրացուցային դրոշմակնիքի վրա նշված օրը:</w:t>
      </w:r>
    </w:p>
    <w:p>
      <w:pPr>
        <w:numPr>
          <w:ilvl w:val="0"/>
          <w:numId w:val="6"/>
        </w:numPr>
      </w:pPr>
      <w:r>
        <w:rPr/>
        <w:t xml:space="preserve">12. Հաշվետվությունները ներկայացվում են Մայքրոսոֆթ Վորդ (Microsoft Word) ձևաչափով, հաշվետվություններում գրանցումները կատարվում են Յունիկոդ (Unicod) ձևաչափով:</w:t>
      </w:r>
    </w:p>
    <w:p>
      <w:pPr>
        <w:numPr>
          <w:ilvl w:val="0"/>
          <w:numId w:val="6"/>
        </w:numPr>
      </w:pPr>
      <w:r>
        <w:rPr/>
        <w:t xml:space="preserve">13. Սույն որոշման Ձև 1-ին համապատասխան լրացված հաշվետվությունը Նախարարություն է ներկայացվում յուրաքանչյուր կիսամյակի համար՝ մինչև հաշվետու կիսամյակին հաջորդող ամսվա 20-ը:</w:t>
      </w:r>
    </w:p>
    <w:p>
      <w:pPr>
        <w:numPr>
          <w:ilvl w:val="0"/>
          <w:numId w:val="6"/>
        </w:numPr>
      </w:pPr>
      <w:r>
        <w:rPr/>
        <w:t xml:space="preserve">14. Ներկայացված հաշվետվությունում սահմանված ձևին անհամապատասխանությունների, անճշտությունների կամ բացթողումների առկայության դեպքում Նախարարությունը տեղեկացնում է իրավաբանական անձին կամ անհատ ձեռնարկատիրոջը այդ մասին, ովքեր իրազեկելուն օրվան հաջորդող հինգ աշխատանքային օրվա ընթացքում Նախարարություն պարտավոր են ներկայացնել ճշգրտված հաշվետվությունը կամ հաշվետվությանը կից ներկայացնեն լրացուցիչ պարզաբանումներ:</w:t>
      </w:r>
    </w:p>
    <w:p>
      <w:pPr>
        <w:numPr>
          <w:ilvl w:val="0"/>
          <w:numId w:val="6"/>
        </w:numPr>
      </w:pPr>
      <w:r>
        <w:rPr/>
        <w:t xml:space="preserve">15. Հաշվետվությունում սխալների կամ անհամապատասխանությունների ինքնուրույն հայտնաբերման դեպքում հաշվետվություն ներկայացրած անձը կարող է ներկայացնել ճշգրտված հաշվետվություն: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ՎԵՐԼՈՒԾՈՒԹՅՈՒՆ</w:t>
      </w:r>
      <w:r>
        <w:rPr/>
        <w:t xml:space="preserve"> </w:t>
      </w:r>
      <w:r>
        <w:rPr>
          <w:b w:val="1"/>
          <w:bCs w:val="1"/>
        </w:rPr>
        <w:t xml:space="preserve">ԻՐԱԿԱՆԱՑՄԱՆ ԸՆԹԱՑԱԿԱՐԳԸ</w:t>
      </w:r>
    </w:p>
    <w:p>
      <w:pPr>
        <w:numPr>
          <w:ilvl w:val="0"/>
          <w:numId w:val="7"/>
        </w:numPr>
      </w:pPr>
      <w:r>
        <w:rPr/>
        <w:t xml:space="preserve">16. Սույն կարգի 14-րդ կետով սահմանված ժամկետում հաշվետվությունները ստանալուց հետո Նախարարության համապատասխան ստորաբաժանումը տասօրյա ժամկետում իրականացնում է հաշվետվությունների վերլուծություն:</w:t>
      </w:r>
    </w:p>
    <w:p>
      <w:pPr>
        <w:numPr>
          <w:ilvl w:val="0"/>
          <w:numId w:val="7"/>
        </w:numPr>
      </w:pPr>
      <w:r>
        <w:rPr/>
        <w:t xml:space="preserve">Նախարարությունը սույն կարգի Ձև 1-ում ներառված տվյալների վերլուծության արդյունքում` հաշվարկում և (կամ) գնահատում է հետևյալ ցուցանիշները`</w:t>
      </w:r>
    </w:p>
    <w:p>
      <w:pPr/>
      <w:r>
        <w:rPr/>
        <w:t xml:space="preserve">1) Փոստային կապի գործունեություն իրականացնող օպերատորների թվաքանակի աճի դինամիկան՝ ըստ կիասամյակի.</w:t>
      </w:r>
    </w:p>
    <w:p>
      <w:pPr/>
      <w:r>
        <w:rPr/>
        <w:t xml:space="preserve">2) Փոստային կապի գործունեություն իրականացնող օպերատորների աշխատողների թվաքանակի աճի դինամիկան.</w:t>
      </w:r>
    </w:p>
    <w:p>
      <w:pPr/>
      <w:r>
        <w:rPr/>
        <w:t xml:space="preserve">3) Նամակագրական թղթակցության աճի դինամիկան` ըստ կիսամյակի.</w:t>
      </w:r>
    </w:p>
    <w:p>
      <w:pPr/>
      <w:r>
        <w:rPr/>
        <w:t xml:space="preserve">4) Հիբրիդային առաքանիների աճի դինամիկան` ըստ կիսամյակի.</w:t>
      </w:r>
    </w:p>
    <w:p>
      <w:pPr/>
      <w:r>
        <w:rPr/>
        <w:t xml:space="preserve">5) Ծանրոցների քանակի աճի դինամիկան` ըստ կիսամյակի.</w:t>
      </w:r>
    </w:p>
    <w:p>
      <w:pPr/>
      <w:r>
        <w:rPr/>
        <w:t xml:space="preserve">6) Արագացված փոստային ծառայության քանակի աճի դինամիկան` ըստ կիսամյակի.</w:t>
      </w:r>
    </w:p>
    <w:p>
      <w:pPr>
        <w:numPr>
          <w:ilvl w:val="0"/>
          <w:numId w:val="8"/>
        </w:numPr>
      </w:pPr>
      <w:r>
        <w:rPr/>
        <w:t xml:space="preserve">Սույն կարգի Ձև 2-ով սահմանված ամփոփ տեղեկանքը Նախարարության համապատասխան ստորաբաժանման կողմից կից զեկուցագրով ներկայացվում է Նախարարության գլխավոր քարտուղարին` չխախտելով սույն կարգի 4-րդ կետով սահմանված ժամկետը:</w:t>
      </w:r>
    </w:p>
    <w:p>
      <w:pPr>
        <w:numPr>
          <w:ilvl w:val="0"/>
          <w:numId w:val="8"/>
        </w:numPr>
      </w:pPr>
      <w:r>
        <w:rPr/>
        <w:t xml:space="preserve">Գլխավոր քարտուղարի հանձնարարությամբ սույն կարգի Ձև 2-ով սահմանված ամփոփ տեղեկանքը Նախարարության հասարակության հետ կապերի բաժնի կողմից հրապարակվում է Նախարարության պաշտոնական կայքէջի համապատասխան բաժնում: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Ձև</w:t>
      </w:r>
      <w:r>
        <w:rPr>
          <w:b w:val="1"/>
          <w:bCs w:val="1"/>
          <w:u w:val="single"/>
        </w:rPr>
        <w:t xml:space="preserve"> 1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Ձ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Վ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Փոստային կապի ոլորտի</w:t>
      </w:r>
      <w:r>
        <w:rPr/>
        <w:t xml:space="preserve"> </w:t>
      </w:r>
      <w:r>
        <w:rPr>
          <w:b w:val="1"/>
          <w:bCs w:val="1"/>
        </w:rPr>
        <w:t xml:space="preserve">հաշվետվության</w:t>
      </w:r>
      <w:r>
        <w:rPr/>
        <w:t xml:space="preserve"> </w:t>
      </w:r>
      <w:r>
        <w:rPr>
          <w:b w:val="1"/>
          <w:bCs w:val="1"/>
        </w:rPr>
        <w:t xml:space="preserve">և վիճակագրական տվյալների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ներկայացման</w:t>
      </w:r>
    </w:p>
    <w:tbl>
      <w:tblGrid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>
              <w:jc w:val="end"/>
            </w:pPr>
            <w:r>
              <w:rPr/>
              <w:t xml:space="preserve">(Կիսամյակային)</w:t>
            </w:r>
          </w:p>
        </w:tc>
      </w:tr>
    </w:tbl>
    <w:p>
      <w:pPr/>
      <w:r>
        <w:rPr/>
        <w:t xml:space="preserve"> </w:t>
      </w:r>
    </w:p>
    <w:tbl>
      <w:tblGrid>
        <w:gridCol w:w="8625" w:type="dxa"/>
        <w:gridCol w:w="8625" w:type="dxa"/>
        <w:gridCol w:w="8625" w:type="dxa"/>
        <w:gridCol w:w="2250" w:type="dxa"/>
      </w:tblGrid>
      <w:tblPr>
        <w:tblW w:w="8625" w:type="dxa"/>
        <w:tblLayout w:type="autofit"/>
      </w:tblPr>
      <w:tr>
        <w:trPr/>
        <w:tc>
          <w:tcPr>
            <w:tcW w:w="8625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Ցուցանիշի անվանումը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Չափի միավոր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Հաշվետու ժամանակաշրջան</w:t>
            </w:r>
          </w:p>
        </w:tc>
      </w:tr>
      <w:tr>
        <w:trPr/>
        <w:tc>
          <w:tcPr>
            <w:tcW w:w="8625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Փոստային բաժանմունքների (գրասենյակների) քանակը, ընդամենը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6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այդ թվում` գյուղական վայրերում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625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Շարժական փոստային բաժանմունքների քանակը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6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այդ թվում` գյուղական վայրերում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մարդ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625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Սուրհանդակային գրասենյակների քանակը, ընդամենը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6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այդ թվում` գյուղական վայրերում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625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Ֆինանսական ծառայություններ մատուցող փոստային բաժանմունքների քանակը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625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Էլեկտրոնային առևտրի ծառայություններ մատուցող փոստային բաժանմունքների (գրասենյակների) քանակը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625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Լոքերների քանակ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625" w:type="dxa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Տեսակավորման կենտրոնների քանակը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625" w:type="dxa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Աշխատողների թվաքանակը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մարդ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625" w:type="dxa"/>
            <w:noWrap/>
          </w:tcPr>
          <w:p>
            <w:pPr/>
            <w:r>
              <w:rPr/>
              <w:t xml:space="preserve">9.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Փոստատարների թվաքանակը, ընդամենը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մարդ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6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այդ թվում` գյուղական վայրերում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մարդ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625" w:type="dxa"/>
            <w:noWrap/>
          </w:tcPr>
          <w:p>
            <w:pPr/>
            <w:r>
              <w:rPr/>
              <w:t xml:space="preserve">10.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Սուրհանդակների թվաքանակը, ընդամենը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մարդ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6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այդ թվում` գյուղական վայրերում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մարդ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625" w:type="dxa"/>
            <w:noWrap/>
          </w:tcPr>
          <w:p>
            <w:pPr/>
            <w:r>
              <w:rPr/>
              <w:t xml:space="preserve">11.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Փոստային ծառայությունների մատուցումից ստացված եկամուտ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հազար դրամ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625" w:type="dxa"/>
            <w:noWrap/>
          </w:tcPr>
          <w:p>
            <w:pPr/>
            <w:r>
              <w:rPr/>
              <w:t xml:space="preserve">12.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Սուրհանդակային կապի ծառայությունների մատուցումից ստացված եկամուտ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հազար դրամ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625" w:type="dxa"/>
            <w:noWrap/>
          </w:tcPr>
          <w:p>
            <w:pPr/>
            <w:r>
              <w:rPr/>
              <w:t xml:space="preserve">13.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Նամակագրական թղթակցություն,</w:t>
            </w:r>
            <w:br/>
            <w:r>
              <w:rPr/>
              <w:t xml:space="preserve"> ընդամենը, այդ թվում`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625" w:type="dxa"/>
            <w:noWrap/>
          </w:tcPr>
          <w:p>
            <w:pPr/>
            <w:r>
              <w:rPr/>
              <w:t xml:space="preserve">1)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Հասարակ նամակագրական թղթակցություն, ընդամենը`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6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Այդ թվում` ներհանրապետական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6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 միջազգային մտից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6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 միջազգային ելից</w:t>
            </w:r>
          </w:p>
        </w:tc>
        <w:tc>
          <w:tcPr>
            <w:tcW w:w="8625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2)</w:t>
            </w:r>
          </w:p>
        </w:tc>
        <w:tc>
          <w:tcPr>
            <w:tcW w:w="4470" w:type="dxa"/>
            <w:noWrap/>
          </w:tcPr>
          <w:p>
            <w:pPr/>
            <w:r>
              <w:rPr/>
              <w:t xml:space="preserve">Գրանցվող նամակագրական թղթակցություն, ընդամենը`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470" w:type="dxa"/>
            <w:noWrap/>
          </w:tcPr>
          <w:p>
            <w:pPr/>
            <w:r>
              <w:rPr/>
              <w:t xml:space="preserve">Այդ թվում` ներհանրապետական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470" w:type="dxa"/>
            <w:noWrap/>
          </w:tcPr>
          <w:p>
            <w:pPr/>
            <w:r>
              <w:rPr/>
              <w:t xml:space="preserve">միջազգային մտից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470" w:type="dxa"/>
            <w:noWrap/>
          </w:tcPr>
          <w:p>
            <w:pPr/>
            <w:r>
              <w:rPr/>
              <w:t xml:space="preserve">միջազգային ելից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3)</w:t>
            </w:r>
          </w:p>
        </w:tc>
        <w:tc>
          <w:tcPr>
            <w:tcW w:w="4470" w:type="dxa"/>
            <w:noWrap/>
          </w:tcPr>
          <w:p>
            <w:pPr/>
            <w:r>
              <w:rPr/>
              <w:t xml:space="preserve">Գնահատված արժեքով նամակագրական թղթակցություն, ընդամենը`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470" w:type="dxa"/>
            <w:noWrap/>
          </w:tcPr>
          <w:p>
            <w:pPr/>
            <w:r>
              <w:rPr/>
              <w:t xml:space="preserve">Այդ թվում` ներհանրապետական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470" w:type="dxa"/>
            <w:noWrap/>
          </w:tcPr>
          <w:p>
            <w:pPr/>
            <w:r>
              <w:rPr/>
              <w:t xml:space="preserve">միջազգային մտից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470" w:type="dxa"/>
            <w:noWrap/>
          </w:tcPr>
          <w:p>
            <w:pPr/>
            <w:r>
              <w:rPr/>
              <w:t xml:space="preserve">միջազգային ելից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14.</w:t>
            </w:r>
          </w:p>
        </w:tc>
        <w:tc>
          <w:tcPr>
            <w:tcW w:w="4470" w:type="dxa"/>
            <w:noWrap/>
          </w:tcPr>
          <w:p>
            <w:pPr/>
            <w:r>
              <w:rPr/>
              <w:t xml:space="preserve">Հիբրիդային առաքանի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15.</w:t>
            </w:r>
          </w:p>
        </w:tc>
        <w:tc>
          <w:tcPr>
            <w:tcW w:w="4470" w:type="dxa"/>
            <w:noWrap/>
          </w:tcPr>
          <w:p>
            <w:pPr/>
            <w:r>
              <w:rPr/>
              <w:t xml:space="preserve">Ծանրոցներ, ընդամենը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1)</w:t>
            </w:r>
          </w:p>
        </w:tc>
        <w:tc>
          <w:tcPr>
            <w:tcW w:w="4470" w:type="dxa"/>
            <w:noWrap/>
          </w:tcPr>
          <w:p>
            <w:pPr/>
            <w:r>
              <w:rPr/>
              <w:t xml:space="preserve">Հասարակ ծանրոցներ, ընդամենը`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470" w:type="dxa"/>
            <w:noWrap/>
          </w:tcPr>
          <w:p>
            <w:pPr/>
            <w:r>
              <w:rPr/>
              <w:t xml:space="preserve">Այդ թվում` ներհանրապետական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470" w:type="dxa"/>
            <w:noWrap/>
          </w:tcPr>
          <w:p>
            <w:pPr/>
            <w:r>
              <w:rPr/>
              <w:t xml:space="preserve">միջազգային մտից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470" w:type="dxa"/>
            <w:noWrap/>
          </w:tcPr>
          <w:p>
            <w:pPr/>
            <w:r>
              <w:rPr/>
              <w:t xml:space="preserve">Այդ թվում` միջազգային ելից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2)</w:t>
            </w:r>
          </w:p>
        </w:tc>
        <w:tc>
          <w:tcPr>
            <w:tcW w:w="4470" w:type="dxa"/>
            <w:noWrap/>
          </w:tcPr>
          <w:p>
            <w:pPr/>
            <w:r>
              <w:rPr/>
              <w:t xml:space="preserve">Գնահատված արժեքով ծանրոցներ,</w:t>
            </w:r>
            <w:br/>
            <w:r>
              <w:rPr/>
              <w:t xml:space="preserve"> ընդամենը`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470" w:type="dxa"/>
            <w:noWrap/>
          </w:tcPr>
          <w:p>
            <w:pPr/>
            <w:r>
              <w:rPr/>
              <w:t xml:space="preserve">Այդ թվում` ներհանրապետական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470" w:type="dxa"/>
            <w:noWrap/>
          </w:tcPr>
          <w:p>
            <w:pPr/>
            <w:r>
              <w:rPr/>
              <w:t xml:space="preserve">միջազգային մտից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470" w:type="dxa"/>
            <w:noWrap/>
          </w:tcPr>
          <w:p>
            <w:pPr/>
            <w:r>
              <w:rPr/>
              <w:t xml:space="preserve">միջազգային ելից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16.</w:t>
            </w:r>
          </w:p>
        </w:tc>
        <w:tc>
          <w:tcPr>
            <w:tcW w:w="4470" w:type="dxa"/>
            <w:noWrap/>
          </w:tcPr>
          <w:p>
            <w:pPr/>
            <w:r>
              <w:rPr/>
              <w:t xml:space="preserve">Արագացված փոստային ծառայություն (EMS)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470" w:type="dxa"/>
            <w:noWrap/>
          </w:tcPr>
          <w:p>
            <w:pPr/>
            <w:r>
              <w:rPr/>
              <w:t xml:space="preserve">Այդ թվում` միջազգային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br/>
      <w:r>
        <w:rPr>
          <w:b w:val="1"/>
          <w:bCs w:val="1"/>
          <w:u w:val="single"/>
        </w:rPr>
        <w:t xml:space="preserve"> </w:t>
      </w:r>
    </w:p>
    <w:p>
      <w:pPr/>
      <w:r>
        <w:rPr>
          <w:b w:val="1"/>
          <w:bCs w:val="1"/>
          <w:u w:val="single"/>
        </w:rPr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Ձև</w:t>
      </w:r>
      <w:r>
        <w:rPr/>
        <w:t xml:space="preserve"> </w:t>
      </w:r>
      <w:r>
        <w:rPr>
          <w:b w:val="1"/>
          <w:bCs w:val="1"/>
          <w:u w:val="single"/>
        </w:rPr>
        <w:t xml:space="preserve">2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Ձ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Վ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Փոստային կապի ոլորտի</w:t>
      </w:r>
      <w:r>
        <w:rPr/>
        <w:t xml:space="preserve"> </w:t>
      </w:r>
      <w:r>
        <w:rPr>
          <w:b w:val="1"/>
          <w:bCs w:val="1"/>
        </w:rPr>
        <w:t xml:space="preserve">հաշվետվության և վիճակագրական տվյալների ամփոփ տեղեկանքի</w:t>
      </w:r>
    </w:p>
    <w:p>
      <w:pPr>
        <w:jc w:val="end"/>
      </w:pPr>
      <w:r>
        <w:rPr/>
        <w:t xml:space="preserve">(Կիսամյակային)</w:t>
      </w:r>
    </w:p>
    <w:tbl>
      <w:tblGrid>
        <w:gridCol w:w="10695" w:type="dxa"/>
        <w:gridCol w:w="10695" w:type="dxa"/>
        <w:gridCol w:w="10695" w:type="dxa"/>
        <w:gridCol w:w="2235" w:type="dxa"/>
        <w:gridCol w:w="2175" w:type="dxa"/>
      </w:tblGrid>
      <w:tblPr>
        <w:tblW w:w="10695" w:type="dxa"/>
        <w:tblLayout w:type="autofit"/>
      </w:tblPr>
      <w:tr>
        <w:trPr/>
        <w:tc>
          <w:tcPr>
            <w:tcW w:w="10695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10695" w:type="dxa"/>
            <w:noWrap/>
          </w:tcPr>
          <w:p>
            <w:pPr/>
            <w:r>
              <w:rPr/>
              <w:t xml:space="preserve">Ցուցանիշի անվանումը</w:t>
            </w:r>
          </w:p>
        </w:tc>
        <w:tc>
          <w:tcPr>
            <w:tcW w:w="10695" w:type="dxa"/>
            <w:noWrap/>
          </w:tcPr>
          <w:p>
            <w:pPr/>
            <w:r>
              <w:rPr/>
              <w:t xml:space="preserve">Չափի միավոր</w:t>
            </w:r>
          </w:p>
        </w:tc>
        <w:tc>
          <w:tcPr>
            <w:tcW w:w="4410" w:type="dxa"/>
            <w:gridSpan w:val="2"/>
            <w:noWrap/>
          </w:tcPr>
          <w:p>
            <w:pPr/>
            <w:r>
              <w:rPr/>
              <w:t xml:space="preserve">Հաշվետու ժամանակաշրջան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Նախորդ տարի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Ընթացիկ տարի</w:t>
            </w:r>
          </w:p>
        </w:tc>
      </w:tr>
      <w:tr>
        <w:trPr/>
        <w:tc>
          <w:tcPr>
            <w:tcW w:w="10695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10695" w:type="dxa"/>
            <w:noWrap/>
          </w:tcPr>
          <w:p>
            <w:pPr/>
            <w:r>
              <w:rPr/>
              <w:t xml:space="preserve">Փոստային կապի գործունեություն իրականացնող օպերատորների թվաքանակը</w:t>
            </w:r>
          </w:p>
        </w:tc>
        <w:tc>
          <w:tcPr>
            <w:tcW w:w="10695" w:type="dxa"/>
            <w:noWrap/>
          </w:tcPr>
          <w:p>
            <w:pPr/>
            <w:r>
              <w:rPr/>
              <w:t xml:space="preserve">հատ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95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10695" w:type="dxa"/>
            <w:noWrap/>
          </w:tcPr>
          <w:p>
            <w:pPr/>
            <w:r>
              <w:rPr/>
              <w:t xml:space="preserve">Աշխատողների թվաքանակը</w:t>
            </w:r>
          </w:p>
        </w:tc>
        <w:tc>
          <w:tcPr>
            <w:tcW w:w="10695" w:type="dxa"/>
            <w:noWrap/>
          </w:tcPr>
          <w:p>
            <w:pPr/>
            <w:r>
              <w:rPr/>
              <w:t xml:space="preserve">մարդ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95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10695" w:type="dxa"/>
            <w:noWrap/>
          </w:tcPr>
          <w:p>
            <w:pPr/>
            <w:r>
              <w:rPr/>
              <w:t xml:space="preserve">Նամակագրական թղթակցություն,</w:t>
            </w:r>
            <w:br/>
            <w:r>
              <w:rPr/>
              <w:t xml:space="preserve"> ընդամենը, այդ թվում`</w:t>
            </w:r>
          </w:p>
        </w:tc>
        <w:tc>
          <w:tcPr>
            <w:tcW w:w="10695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95" w:type="dxa"/>
            <w:noWrap/>
          </w:tcPr>
          <w:p>
            <w:pPr/>
            <w:r>
              <w:rPr/>
              <w:t xml:space="preserve"> ներհանրապետական</w:t>
            </w:r>
          </w:p>
        </w:tc>
        <w:tc>
          <w:tcPr>
            <w:tcW w:w="10695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95" w:type="dxa"/>
            <w:noWrap/>
          </w:tcPr>
          <w:p>
            <w:pPr/>
            <w:r>
              <w:rPr/>
              <w:t xml:space="preserve"> միջազգային (մտից, ելից)</w:t>
            </w:r>
          </w:p>
        </w:tc>
        <w:tc>
          <w:tcPr>
            <w:tcW w:w="10695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Հիբրիդային առաքանի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Ծանրոցներ, ընդամենը, այդ թվում`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ներհանրապետական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միջազգային (մտից, ելից)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Արագացված փոստային ծառայություն (EMS)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395" w:type="dxa"/>
            <w:noWrap/>
          </w:tcPr>
          <w:p>
            <w:pPr/>
            <w:r>
              <w:rPr/>
              <w:t xml:space="preserve">Այդ թվում` միջազգային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հազար հատ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7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CBC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570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11F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FC42D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5148E5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7FB75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25AE5F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2026-04-01T18:11:05+04:00</dcterms:created>
  <dcterms:modified xsi:type="dcterms:W3CDTF">2026-04-01T18:11:05+04:00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