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««Հայաստանի Հանրապետության կառավարության 2008 թվականի հոկտեմբերի 23-ի N 1225-Ն որոշման մեջ փոփոխություններ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«____» _____________ 2023 թվականի N ____-Ն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2008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ՀՈԿՏԵՄԲԵՐԻ</w:t>
      </w:r>
      <w:r>
        <w:rPr>
          <w:b w:val="1"/>
          <w:bCs w:val="1"/>
        </w:rPr>
        <w:t xml:space="preserve"> 23-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1225-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2008 թվականի հոկտեմբերի 23-ի «Մինչդատական վարույթը բնութագրող ցուցանիշների վիճակագրական հաշվետվությունների միասնական ձևերը և դրանց լրացման ու ներկայացման կարգերը հաստատելու մասին» N 1225-Ն որոշման (այսուհետ՝ Որոշում) մեջ կատարել հետևյալ փոփոխությունները`</w:t>
      </w:r>
    </w:p>
    <w:p>
      <w:pPr/>
      <w:r>
        <w:rPr/>
        <w:t xml:space="preserve">1) Որոշման վերնագրից հանել «լրացման ու» բառերը.</w:t>
      </w:r>
    </w:p>
    <w:p>
      <w:pPr/>
      <w:r>
        <w:rPr/>
        <w:t xml:space="preserve">2) Որոշման նախաբանը շարադրել հետևյալ խմբագրությամբ.</w:t>
      </w:r>
    </w:p>
    <w:p>
      <w:pPr/>
      <w:r>
        <w:rPr/>
        <w:t xml:space="preserve">«Մինչդատական վարույթին վերաբերող ցուցանիշների համակարգված միասնական վիճակագրություն վարելու, Հայաստանի Հանրապետության նախաքննության մարմինների կողմից ներկայացվող քննչական աշխատանքի մասին հիմնական տվյալների ամսական, կիսամյակային և տարեկան վիճակագրական հաշվետվությունների ձևերը միասնական դարձնելու և դրանք Հայաստանի Հանրապետության գլխավոր դատախազություն ներկայացնելու ընթացակարգերը հստակեցնելու նպատակով Հայաստանի Հանրապետության կառավարությունը որոշում է.».</w:t>
      </w:r>
    </w:p>
    <w:p>
      <w:pPr/>
      <w:r>
        <w:rPr/>
        <w:t xml:space="preserve">3) Որոշման 1-ին կետը շարադրել հետևյալ խմբագրությամբ.</w:t>
      </w:r>
    </w:p>
    <w:p>
      <w:pPr/>
      <w:r>
        <w:rPr/>
        <w:t xml:space="preserve">«1. Հաստատել՝</w:t>
      </w:r>
    </w:p>
    <w:p>
      <w:pPr/>
      <w:r>
        <w:rPr/>
        <w:t xml:space="preserve">Հայաստանի Հանրապետության նախաքննության մարմինների կողմից ներկայացվող քննչական աշխատանքի մասին հիմնական տվյալների ամսական,  կիսամյակային և տարեկան վիճակագրական հաշվետվության միասնական և զինվորական հանցագործությունների հաշվառման ձևերը (Ձև N 1.1 Մ, N 1.1 Զ, N 1 Մ և N 1 Զ) և դրանց ներկայացման կարգը` համաձայն հավելվածի:»:</w:t>
      </w:r>
    </w:p>
    <w:p>
      <w:pPr>
        <w:numPr>
          <w:ilvl w:val="0"/>
          <w:numId w:val="3"/>
        </w:numPr>
      </w:pPr>
      <w:r>
        <w:rPr/>
        <w:t xml:space="preserve">Որոշման N 1, N 2 և N 3 հավելվածներն ուժը կորցրած ճանաչել: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tbl>
      <w:tblGrid>
        <w:gridCol w:w="4500" w:type="dxa"/>
        <w:gridCol w:w="5000" w:type="dxa"/>
      </w:tblGrid>
      <w:tblPr>
        <w:tblW w:w="5000" w:type="pct"/>
        <w:tblLayout w:type="autofit"/>
      </w:tblPr>
      <w:tr>
        <w:trPr/>
        <w:tc>
          <w:tcPr>
            <w:tcW w:w="4500" w:type="dxa"/>
            <w:noWrap/>
          </w:tcPr>
          <w:p>
            <w:pPr/>
            <w:r>
              <w:rPr>
                <w:b w:val="1"/>
                <w:bCs w:val="1"/>
              </w:rPr>
              <w:t xml:space="preserve">Հայաստանի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Հանրապետության</w:t>
            </w:r>
            <w:br/>
            <w:r>
              <w:rPr>
                <w:b w:val="1"/>
                <w:bCs w:val="1"/>
              </w:rPr>
              <w:t xml:space="preserve"> վարչապետ</w:t>
            </w:r>
          </w:p>
        </w:tc>
        <w:tc>
          <w:tcPr>
            <w:tcW w:w="5000" w:type="pct"/>
            <w:noWrap/>
          </w:tcPr>
          <w:p>
            <w:pPr/>
            <w:r>
              <w:rPr>
                <w:b w:val="1"/>
                <w:bCs w:val="1"/>
              </w:rPr>
              <w:t xml:space="preserve">Ն. Փաշինյա</w:t>
            </w:r>
            <w:r>
              <w:rPr>
                <w:b w:val="1"/>
                <w:bCs w:val="1"/>
              </w:rPr>
              <w:t xml:space="preserve">ն</w:t>
            </w:r>
          </w:p>
        </w:tc>
      </w:tr>
    </w:tbl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9E4F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4B488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2026-04-03T15:22:01+04:00</dcterms:created>
  <dcterms:modified xsi:type="dcterms:W3CDTF">2026-04-03T15:22:01+04:00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