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ՔԱՂԱՔԱՑԻԱԿԱՆԱ ՕՐԵՆՍԳՐՔՈՒՄ ՓՈՓՈԽՈՒԹՅՈՒՆ ԿԱՏԱՐԵԼՈՒ ՄԱՍԻՆ</w:t>
      </w:r>
      <w:bookmarkEnd w:id="0"/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ՔԱՂԱՔԱՑԻԱԿԱՆԱ</w:t>
      </w:r>
      <w:r>
        <w:rPr>
          <w:b w:val="1"/>
          <w:bCs w:val="1"/>
        </w:rPr>
        <w:t xml:space="preserve"> ՕՐԵՆՍԳՐՔՈՒՄ 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1998 թվականի մայիսի 5-ի քաղաքացիական օրենսգրքի  265-րդ հոդվածի 2-րդ մասը շարադրել հետևյալ խմբագրությամբ.</w:t>
      </w:r>
    </w:p>
    <w:p>
      <w:pPr/>
      <w:r>
        <w:rPr/>
        <w:t xml:space="preserve">«2. Հողամասի նկատմամբ ընդհանուր սեփականության դեպքում հիփոթեք կարող է սահմանվել քաղաքացուն կամ իրավաբանական անձին պատկանող այն հողամասի նկատմամբ, որը</w:t>
      </w:r>
    </w:p>
    <w:p>
      <w:pPr/>
      <w:r>
        <w:rPr/>
        <w:t xml:space="preserve">ա)  բնեղենով առանձնացված է ընդհանուր սեփականության ներքո գտնվող հողամասից՝ որպես առանձին գույք, և դրա նկատմամբ իրավունքները գրանցված են գույքի նկատմամբ իրավունքների պետական գրանցման մասին օրենքով սահմանված կարգով, կամ՝</w:t>
      </w:r>
    </w:p>
    <w:p>
      <w:pPr/>
      <w:r>
        <w:rPr/>
        <w:t xml:space="preserve">բ) հանդիսանում է ընդհանուր բաժնային սեփականություն, որի դեպքում հիփոթեքը տարածվում է գրավատուին սեփականության իրավունքով պատկանող և գույքի նկատմամբ իրավունքների պետական գրանցման մասին օրենքով սահմանված կարգով գրանցված հողամասի բաժնի մասի վրա:»: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2026-04-03T16:40:15+04:00</dcterms:created>
  <dcterms:modified xsi:type="dcterms:W3CDTF">2026-04-03T16:40:15+04:00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