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ՀՈՂԱՅԻՆ ՕՐԵՆՍԳՐՔՈՒՄ ՓՈՓՈԽՈՒԹՅՈՒՆՆԵՐ ԵՎ ԼՐԱՑՈՒՄՆԵՐ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ՀՈՂԱՅԻՆ</w:t>
      </w:r>
      <w:r>
        <w:rPr>
          <w:b w:val="1"/>
          <w:bCs w:val="1"/>
        </w:rPr>
        <w:t xml:space="preserve"> ՕՐԵՆՍԳՐՔՈՒՄ 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2001 թվականի մայիսի 2-ի հողային օրենսգրքի (այսուհետ` Օրենսգիրք) 64-րդ հոդվածում՝</w:t>
      </w:r>
    </w:p>
    <w:p>
      <w:pPr>
        <w:numPr>
          <w:ilvl w:val="0"/>
          <w:numId w:val="2"/>
        </w:numPr>
      </w:pPr>
      <w:r>
        <w:rPr/>
        <w:t xml:space="preserve">9-րդ և 10-րդ մասերում «համապատասխանաբար պետական կամ» բառերը փոխարինել «համապատասխան» բառով.</w:t>
      </w:r>
    </w:p>
    <w:p>
      <w:pPr>
        <w:numPr>
          <w:ilvl w:val="0"/>
          <w:numId w:val="2"/>
        </w:numPr>
      </w:pPr>
      <w:r>
        <w:rPr/>
        <w:t xml:space="preserve">9-րդ մասում «վճարման անդորրագիրը» բառերից հետո լրացնել «, բացառությամբ սույն օրենսգրքի 64.1-ին հոդվածով սահմանված դեպքերի» բառերը:</w:t>
      </w:r>
    </w:p>
    <w:p>
      <w:pPr/>
      <w:r>
        <w:rPr/>
        <w:t xml:space="preserve"> </w:t>
      </w:r>
    </w:p>
    <w:p>
      <w:pPr/>
      <w:r>
        <w:rPr/>
        <w:t xml:space="preserve"> 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Օրենսգիրքը լրացնել հետևյալ բովանդակությամբ 64.1-ին հոդվածով.</w:t>
      </w:r>
    </w:p>
    <w:p>
      <w:pPr/>
      <w:r>
        <w:rPr/>
        <w:t xml:space="preserve">«</w:t>
      </w:r>
      <w:r>
        <w:rPr>
          <w:b w:val="1"/>
          <w:bCs w:val="1"/>
        </w:rPr>
        <w:t xml:space="preserve">64.1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ՀՈՂԱՄԱՍԻ ԿԱԴԱՍՏՐԱՅԻՆ ԱՐԺԵՔԻ ՏԱՐԱԺԱՄԿԵՏ ՎՃԱՐՄԱՆ ԿԱՐԳ</w:t>
      </w:r>
    </w:p>
    <w:p>
      <w:pPr>
        <w:numPr>
          <w:ilvl w:val="0"/>
          <w:numId w:val="3"/>
        </w:numPr>
      </w:pPr>
      <w:r>
        <w:rPr/>
        <w:t xml:space="preserve">Սույն օրենսգրքի 64-րդ հոդվածի 9-րդ մասով նախատեսված կադաստրային արժեքի վճարումը Երևան համայնքում արտադրական, իսկ մյուս համայնքներում նաև հասարակական օբյեկտի կառուցման և սպասարկման համար տրամադրված հողամասը ձեռք բերողը իրավունք ունի կատարել տարաժամկետ կարգով, եթե ձեռք բերված հողամասի կադաստրային արժեքը գերազանցում է 10 միլիոն դրամը: Ընդ որում, վճարման ենթակա գումարից առնվազն 10 միլիոն դրամը պետք է վճարվի միանվագ՝ մինչև հողամասի նկատմամբ ձեռք բերողի սեփականության իրավունքի պետական գրանցումը:</w:t>
      </w:r>
    </w:p>
    <w:p>
      <w:pPr>
        <w:numPr>
          <w:ilvl w:val="0"/>
          <w:numId w:val="3"/>
        </w:numPr>
      </w:pPr>
      <w:r>
        <w:rPr/>
        <w:t xml:space="preserve">Հողամասի կադաստրային արժեքը տարաժամկետ կարգով վճարելու նպատակով հողամասը ձեռք բերողը համապատասխան համայնքի ղեկավարի և հողամասը վաճառողի հետ կնքում է հողամասի առուվաճառքի և հիփոթեքի պայմանագիր, ընդ որում.</w:t>
      </w:r>
    </w:p>
    <w:p>
      <w:pPr/>
      <w:r>
        <w:rPr/>
        <w:t xml:space="preserve">ա) եթե վճարման ենթակա և վճարված գումարների տարբերությունը կազմում է մինչև 10 միլիոն դրամ (ներառյալ), ապա այն պետք է ամբողջությամբ վճարվի ոչ ուշ քան երեք տարվա ընթացքում՝ եռամսյակային կտրվածքով, հավասար չափով.</w:t>
      </w:r>
    </w:p>
    <w:p>
      <w:pPr/>
      <w:r>
        <w:rPr/>
        <w:t xml:space="preserve">բ) եթե վճարման ենթակա և վճարված գումարների տարբերությունը գերազանցում է 10 միլիոն դրամը, ապա այն պետք է վճարվի հինգ տարվա ընթացքում՝ եռամսյակային կտրվածքով, հավասար չափով.</w:t>
      </w:r>
    </w:p>
    <w:p>
      <w:pPr/>
      <w:r>
        <w:rPr/>
        <w:t xml:space="preserve">գ) ձեռք բերողն իրավունք ունի տարաժամկետ վճարման համար պայմանագրով սահմանված ժամանակահատվածի ցանկացած պահի վաղաժամկետ վճարել չվճարված ամբողջ գումարը:</w:t>
      </w:r>
    </w:p>
    <w:p>
      <w:pPr>
        <w:numPr>
          <w:ilvl w:val="0"/>
          <w:numId w:val="4"/>
        </w:numPr>
      </w:pPr>
      <w:r>
        <w:rPr/>
        <w:t xml:space="preserve">Սահմանել, որ եթե հողամասը ձեռք բերողը ցանկություն է հայտնում հողամասի կադաստրային արժեքը վճարել տարաժամկետ կարգով, ապա համայնքի ղեկավարն իրավունք չունի հրաժարվել կնքել հողամասի առուվաճառքի և հիփոթեքի պայմանագիր, բացառությամբ, եթե հողամասը հանդիսանում է հիփոթեքի առարկա և գրավառուն պայմանագրով չի զիճում գրավի առարկայից առաջնային բավարարում ստանալու նախապատվության իր իրավունքը համայնքին, կամ եթե գույքը օտարվում է տարաժամկետ կարգով և օտարողը պայմանագրով համաձայնություն չի տալիս գրավի առարկայից առաջնային բավարարում ստանալու իրավունքը համայնքին տալուն:</w:t>
      </w:r>
    </w:p>
    <w:p>
      <w:pPr>
        <w:numPr>
          <w:ilvl w:val="0"/>
          <w:numId w:val="4"/>
        </w:numPr>
      </w:pPr>
      <w:r>
        <w:rPr/>
        <w:t xml:space="preserve">Սույն հոդվածով նախատեսված դեպքերում իրավունքների պետական գրանցումը մերժվում է, եթե ձեռք բերողը չի ներկայացնում սույն հոդվածի 1-ին մասով նախատեսված վճարման անդորրագիրը:</w:t>
      </w:r>
    </w:p>
    <w:p>
      <w:pPr>
        <w:numPr>
          <w:ilvl w:val="0"/>
          <w:numId w:val="4"/>
        </w:numPr>
      </w:pPr>
      <w:r>
        <w:rPr/>
        <w:t xml:space="preserve">Սույն հոդվածով նախատեսված պայմանագրի ժամկետի ավարտման պահից գրանցող մարմինը կասեցնում է հողամասի նկատմամբ իրավունքների հետագա պետական գրանցումը, մինչև հողամասի կադաստրային արժեքի վճարման պարտավորության դադարումը:»: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Օրենսգրքի  88-րդ հոդվածի 3-րդ մասը շարադրել հետևյալ խմբագրությամբ.</w:t>
      </w:r>
    </w:p>
    <w:p>
      <w:pPr/>
      <w:r>
        <w:rPr/>
        <w:t xml:space="preserve">«2. Հողամասի նկատմամբ ընդհանուր սեփականության դեպքում հիփոթեք կարող է սահմանվել քաղաքացուն կամ իրավաբանական անձին պատկանող այն հողամասի նկատմամբ, որը</w:t>
      </w:r>
    </w:p>
    <w:p>
      <w:pPr/>
      <w:r>
        <w:rPr/>
        <w:t xml:space="preserve">ա)  բնեղենով առանձնացված է ընդհանուր սեփականության ներքո գտնվող հողամասից՝ որպես առանձին գույք, և դրա նկատմամբ իրավունքները գրանցված են գույքի նկատմամբ իրավունքների պետական գրանցման մասին օրենքով սահմանված կարգով, կամ՝</w:t>
      </w:r>
    </w:p>
    <w:p>
      <w:pPr/>
      <w:r>
        <w:rPr/>
        <w:t xml:space="preserve">բ) հանդիսանում է ընդհանուր բաժնային սեփականություն, որի դեպքում հիփոթեքը տարածվում է գրավատուին սեփականության իրավունքով պատկանող և գույքի նկատմամբ իրավունքների պետական գրանցման մասին օրենքով սահմանված կարգով գրանցված հողամասի բաժնի մասի վրա:»: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4E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58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AE823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2026-03-31T13:56:21+04:00</dcterms:created>
  <dcterms:modified xsi:type="dcterms:W3CDTF">2026-03-31T13:56:21+04:00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