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ՓՈՓՈԽՈՒԹՅՈՒՆՆԵՐ ԿԱՏԱՐԵԼՈՒ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Հոդված 1. 2016 թվա­կանի հոկ­­տեմբերի 4-ի Հայաստանի Հանրապետության հար­կա­­յին օրենս­­գրքի (այսուհետ՝ Օրենսգիրք) 121-րդ հոդվածի 2-րդ մասի 2-րդ կետը և 127-րդ հոդվածի 1-ին և 2-րդ մասերն ուժը կորցրած ճանաչել:</w:t>
      </w:r>
    </w:p>
    <w:p>
      <w:pPr/>
      <w:r>
        <w:rPr/>
        <w:t xml:space="preserve">Հոդված 2. Oրենսգրքի 130-րդ հոդվածի 1-ին մասի 3-րդ կետում և 135-րդ հոդվածի 2-րդ մասի 1-ին կետի գ. ենթակետում «1-ին և 3-րդ մասերով» բառերը փոխարինել «3-րդ մասով» բառերով:</w:t>
      </w:r>
    </w:p>
    <w:p>
      <w:pPr/>
      <w:r>
        <w:rPr/>
        <w:t xml:space="preserve">Հոդված 3.</w:t>
      </w:r>
      <w:r>
        <w:rPr>
          <w:b w:val="1"/>
          <w:bCs w:val="1"/>
        </w:rPr>
        <w:t xml:space="preserve"> Եզրափակիչ մաս և 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2024 թվականի հունվարի 1-ից:</w:t>
      </w:r>
    </w:p>
    <w:p>
      <w:pPr>
        <w:numPr>
          <w:ilvl w:val="0"/>
          <w:numId w:val="2"/>
        </w:numPr>
      </w:pPr>
      <w:r>
        <w:rPr/>
        <w:t xml:space="preserve">Մինչև 2024 թվականի հունվարի 1-ը Կառավարության հավանությանն արժանացած գործարար ծրագիր իրականացնող ռեզիդենտ շահութահարկ վճարողների նկատմամբ Օրենսգրքի 127-րդ հոդվածի 1-ին մասով սահմանված ժամկետում շարունակվում են կիրառվել մինչև սույն օրենքի ուժի մեջ մտնելը գործող խմբագրությամբ Օրենսգրքի 121-րդ հոդված 2-րդ մասի 2-րդ կետով, 127-րդ հոդվածի 1-ին մասով, 130-րդ հոդվածի 1-ին մասի 3-րդ կետով և 135-րդ հոդվածի 2-րդ մասի 1-ին կետի գ. ենթակետով նախատեսված դրույթները: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0EA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2026-04-01T16:40:52+04:00</dcterms:created>
  <dcterms:modified xsi:type="dcterms:W3CDTF">2026-04-01T16:40:52+04:00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