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««ՄԱՔՍԱՅԻՆ ԿԱՐԳԱՎՈՐՄԱՆ ՄԱՍԻՆ» ՕՐԵՆՔՈՒՄ ԼՐԱՑՈՒՄՆԵՐ ԵՎ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Օ Ր Ե Ն Ք Ը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«ՄԱՔՍԱՅԻՆ ԿԱՐԳԱՎՈՐՄԱՆ ՄԱՍԻՆ» ՕՐԵՆՔՈՒՄ ԼՐԱՑՈՒՄՆԵՐ ԵՎ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«Մաքսային կարգավորման մասին» 2022 թվականի սեպտեմբերի 14-ի ՀՕ-353-Ն օրենքի (այսուհետ՝ Օրենք) 189-րդ հոդվածի 3-րդ մասից հետո լրացնել 3․1-ին և 3․2-րդ մասեր՝ հետևյալ բովանդակությամբ՝</w:t>
      </w:r>
    </w:p>
    <w:p>
      <w:pPr/>
      <w:r>
        <w:rPr/>
        <w:t xml:space="preserve">«3․1․ Սույն հոդվածի 3-րդ մասով նախատեսված առևտրային գործունեության թույլտվությունը պետական կամ համայնքային սեփականություն հանդիսացող մաքսային հսկողության գոտիներում տրամադրվում է մրցույթի հիման վրա, որի արդյունքում հաղթող ճանաչված մասնակցի հետ պետական գույքի կառավարման ոլորտի լիազոր մարմինը կամ համայնքի ղեկավարը կնքում է մաքսային հսկողության գոտի հանդիսացող համապատասխան տարածքն ուղղակի եղանակով վարձակալության տրամադրման պայմանագիր։</w:t>
      </w:r>
    </w:p>
    <w:p>
      <w:pPr/>
      <w:r>
        <w:rPr/>
        <w:t xml:space="preserve">3․2․ Սույն հոդվածի 3․1-ին մասով նախատեսված մրցույթի իրականացման կարգը սահմանում է Կոմիտեն։»։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 </w:t>
      </w:r>
      <w:r>
        <w:rPr/>
        <w:t xml:space="preserve">Օրենքի 256-րդ հոդվածի 3-րդ մասից հանել «, ինչպես նաև պետական մասնակցությամբ կազմավորված այլ իրավաբանական անձինք» բառերը։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284-րդ հոդվածը լրացնել 5-րդ, 6-րդ և 7-րդ մասերով՝ հետևյալ բովանդակությամբ՝</w:t>
      </w:r>
    </w:p>
    <w:p>
      <w:pPr/>
      <w:r>
        <w:rPr/>
        <w:t xml:space="preserve">«5․ Անմաքս առևտրի խանութների վայրերը սահմանում է Կոմիտեն։</w:t>
      </w:r>
    </w:p>
    <w:p>
      <w:pPr/>
      <w:r>
        <w:rPr/>
        <w:t xml:space="preserve">6․ Սույն հոդվածի 5-րդ մասով նախատեսված վայրերում կարող են գործունեություն իրականացնել սույն հոդվածի 2-րդ մասով նախատեսված կարգով նախաորակավորված անձինք՝ մրցույթի արդյունքում։</w:t>
      </w:r>
    </w:p>
    <w:p>
      <w:pPr/>
      <w:r>
        <w:rPr/>
        <w:t xml:space="preserve">7. Սույն հոդվածի 6-րդ մասով նախատեսված մրցույթի իրականացման կարգը սահմանում է Կառավարությունը։»։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 </w:t>
      </w:r>
      <w:r>
        <w:rPr/>
        <w:t xml:space="preserve">Օրենքի 285-րդ հոդվածի 1-ին մասը լրացնել 3-րդ կետով հետևյալ բոնվանդակությամբ՝</w:t>
      </w:r>
    </w:p>
    <w:p>
      <w:pPr/>
      <w:r>
        <w:rPr/>
        <w:t xml:space="preserve">«3) նախաորակավորված լինելու և սույն օրենքի 284-րդ հոդվածի 7-րդ մասով սահմանված կարգով կազմակերպված մրցույթի արդյունքում հաղթող ճանաչվելու մասին տեղեկություններ:»։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Օրենքի 287-րդ հոդվածի 1-ին մասից հետո լրացնել նոր 1․1-ին մաս հետևյալ բովանդակությամբ՝</w:t>
      </w:r>
    </w:p>
    <w:p>
      <w:pPr/>
      <w:r>
        <w:rPr/>
        <w:t xml:space="preserve">«1.1. Անմաքս առևտրի խանութի տիրապետողների ռեեստրից անմաքս առևտրի խանութի տիրապետողին հանելու հիմք է հանդիսանում անմաքս առևտրի խանութի տիրապետողի կողմից նախաորակավորման արդյունքում ստանձնած պարտավորությունների չկատարումը։»։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Մինչև սույն օրենքի 3-րդ հոդվածով նախատեսված մրցույթի արդյունքում հաղթող ճանաչելը, անմաքս առևտրի խանութների համար Կոմիտեի կողմից սահմանված վայրերում գործունեություն կարող են իրականացնել մինչև Օրենքի 284-րդ հոդվածի 2-րդ մասով նախատեսված նախաորակավորման կարգի ընդունումը անմաքս առևտրի խանութի տիրապետողների ռեեստրում ներառված անձինք։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2026-03-31T06:38:14+04:00</dcterms:created>
  <dcterms:modified xsi:type="dcterms:W3CDTF">2026-03-31T06:38:14+04:00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