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«Պաշտոնաթող վարչապետի գրասենյակի գործունեության և ֆինանսավորման կարգը հաստատելու մասին» Հայաստանի Հանրապետության կառավարության որոշում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 </w:t>
      </w:r>
      <w:r>
        <w:rPr/>
        <w:t xml:space="preserve"> </w:t>
      </w:r>
      <w:r>
        <w:rPr>
          <w:b w:val="1"/>
          <w:bCs w:val="1"/>
        </w:rPr>
        <w:t xml:space="preserve">   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      </w:t>
      </w:r>
    </w:p>
    <w:p>
      <w:pPr>
        <w:jc w:val="center"/>
      </w:pPr>
      <w:r>
        <w:rPr/>
        <w:t xml:space="preserve">.... հունիսի 2023 թվականի N ....-Ն</w:t>
      </w:r>
    </w:p>
    <w:p>
      <w:pPr>
        <w:jc w:val="center"/>
      </w:pPr>
      <w:r>
        <w:rPr/>
        <w:t xml:space="preserve">        </w:t>
      </w:r>
    </w:p>
    <w:p>
      <w:pPr>
        <w:jc w:val="center"/>
      </w:pPr>
      <w:r>
        <w:rPr>
          <w:b w:val="1"/>
          <w:bCs w:val="1"/>
        </w:rPr>
        <w:t xml:space="preserve">ՊԱՇՏՈՆԱԹՈՂ ՎԱՐՉԱՊԵՏԻ ԳՐԱՍԵՆՅԱԿԻ ԳՈՐԾՈՒՆԵՈՒԹՅԱՆ </w:t>
      </w:r>
    </w:p>
    <w:p>
      <w:pPr>
        <w:jc w:val="center"/>
      </w:pPr>
      <w:r>
        <w:rPr>
          <w:b w:val="1"/>
          <w:bCs w:val="1"/>
        </w:rPr>
        <w:t xml:space="preserve">ՖԻՆԱՆՍԱՎՈՐՄԱՆ ԿԱՐԳԸ ՀԱՍՏԱՏԵԼՈՒ ՄԱՍԻՆ</w:t>
      </w:r>
    </w:p>
    <w:p>
      <w:pPr>
        <w:jc w:val="center"/>
      </w:pPr>
      <w:r>
        <w:rPr>
          <w:b w:val="1"/>
          <w:bCs w:val="1"/>
        </w:rPr>
        <w:t xml:space="preserve">           </w:t>
      </w:r>
    </w:p>
    <w:p>
      <w:pPr>
        <w:jc w:val="both"/>
      </w:pPr>
      <w:r>
        <w:rPr/>
        <w:t xml:space="preserve">      Ղեկավարվելով «Պաշտոնատար անձանց գործունեության ապահովման, սպասարկման և սոցիալական երաշխիքների մասին» օրենքի 7.10-րդ հոդվածի 3-րդ մասով՝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Հաստատել պաշտոնաթող Վարչապետի գրասենյակի գործունեության ֆինանսավորման կարգը՝ համաձայն հավելվածի։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        </w:t>
      </w:r>
    </w:p>
    <w:tbl>
      <w:tblGrid>
        <w:gridCol w:w="3585" w:type="dxa"/>
        <w:gridCol w:w="5745" w:type="dxa"/>
      </w:tblGrid>
      <w:tblPr>
        <w:tblW w:w="5000" w:type="pct"/>
        <w:tblLayout w:type="autofit"/>
      </w:tblPr>
      <w:tr>
        <w:trPr/>
        <w:tc>
          <w:tcPr>
            <w:tcW w:w="3585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745" w:type="dxa"/>
            <w:noWrap/>
          </w:tcPr>
          <w:p>
            <w:pPr/>
            <w:r>
              <w:rPr>
                <w:b w:val="1"/>
                <w:bCs w:val="1"/>
              </w:rPr>
              <w:t xml:space="preserve">Ն. Փաշինյան</w:t>
            </w:r>
          </w:p>
        </w:tc>
      </w:tr>
    </w:tbl>
    <w:p>
      <w:pPr/>
      <w:r>
        <w:rPr/>
        <w:t xml:space="preserve">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 կառավարության 2023 թվականի</w:t>
      </w:r>
    </w:p>
    <w:p>
      <w:pPr>
        <w:jc w:val="end"/>
      </w:pPr>
      <w:r>
        <w:rPr>
          <w:b w:val="1"/>
          <w:bCs w:val="1"/>
        </w:rPr>
        <w:t xml:space="preserve">     հունիսի ...-ի N ...-Ն որոշման</w:t>
      </w:r>
      <w:r>
        <w:rPr/>
        <w:t xml:space="preserve">   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   </w:t>
      </w:r>
    </w:p>
    <w:p>
      <w:pPr>
        <w:jc w:val="center"/>
      </w:pPr>
      <w:r>
        <w:rPr>
          <w:b w:val="1"/>
          <w:bCs w:val="1"/>
        </w:rPr>
        <w:t xml:space="preserve">ՊԱՇՏՈՆԱԹՈՂ ՎԱՐՉԱՊԵՏԻ ԳՐԱՍԵՆՅԱԿԻ ԳՈՐԾՈՒՆԵՈՒԹՅԱՆ ՖԻՆԱՆՍԱՎՈՐՄԱՆ</w:t>
      </w:r>
    </w:p>
    <w:p>
      <w:pPr>
        <w:jc w:val="both"/>
      </w:pPr>
      <w:r>
        <w:rPr>
          <w:b w:val="1"/>
          <w:bCs w:val="1"/>
        </w:rPr>
        <w:t xml:space="preserve">  </w:t>
      </w:r>
      <w:r>
        <w:rPr/>
        <w:t xml:space="preserve">1.Սույն կարգով կարգավորվում են Հայաստանի Հանրապետոթյան պետական բյուջեից պաշտոնաթող Վարչապետի (այսուհետ՝ պաշտոնաթող վարչապետ) գրասենյակի (այսուհետ՝ գրասենյակ) գործունեության ֆինանսավորման իրականացման կարգի հետ կապված հարաբերությունները։</w:t>
      </w:r>
    </w:p>
    <w:p>
      <w:pPr>
        <w:jc w:val="both"/>
      </w:pPr>
      <w:r>
        <w:rPr/>
        <w:t xml:space="preserve">   2.Հայաստանի Հանրապետոթյան պետական բյուջեից պաշտոնաթող վարչապետի գրասենյակի գործունեության իրականացման համար ֆինանսական միջոցներ տրամադրվում են հետևյալ ուղղություններով՝</w:t>
      </w:r>
    </w:p>
    <w:p>
      <w:pPr>
        <w:jc w:val="both"/>
      </w:pPr>
      <w:r>
        <w:rPr/>
        <w:t xml:space="preserve">        1) գրասենյակի աշխատողների աշխատանքի վարձատրություն.</w:t>
      </w:r>
    </w:p>
    <w:p>
      <w:pPr>
        <w:jc w:val="both"/>
      </w:pPr>
      <w:r>
        <w:rPr/>
        <w:t xml:space="preserve">        2) գրասենյակի ընթացիկ գործունեության հետ կապված ծառայությունների և ապրանքների ձեռքբերում:</w:t>
      </w:r>
    </w:p>
    <w:p>
      <w:pPr>
        <w:jc w:val="both"/>
      </w:pPr>
      <w:r>
        <w:rPr/>
        <w:t xml:space="preserve">  3. Տվյալ տարվա Հայաստանի Հանրապետության պետական բյուջեից պաշտոնաթող վարչապետի գրասենյակի գործունեության ֆինասավորումն իրականացվում է վարչապետի աշխատակազմի ֆինանսավորման ծախսային ծրագրով նախատեսված միջոցների հաշվին՝ Հայաստանի Հանրապետության օրենսդրությամբ հաստատված նախահաշվի հիման վրա:</w:t>
      </w:r>
    </w:p>
    <w:p>
      <w:pPr>
        <w:jc w:val="both"/>
      </w:pPr>
      <w:r>
        <w:rPr/>
        <w:t xml:space="preserve">     4. Սույն կարգի 2-րդ կետի 1-ին ենթակետով նախատեսված գրասենյակի աշխատողների հիմնական աշխատավարձի չափը սահմանվում է Հայաստանի Հանրապետության կառավարության 2014 թվականի հուլիսի 3-ի N 737-Ն որոշման N 7 հավելվածով։</w:t>
      </w:r>
    </w:p>
    <w:p>
      <w:pPr>
        <w:jc w:val="both"/>
      </w:pPr>
      <w:r>
        <w:rPr/>
        <w:t xml:space="preserve">     5. Պաշտոնաթող վարչապետի գրասենյակի կողմից վարձակալվող տարածքի տարեկան վարձը չի կարող գերազանցել 2 մլն դրամը։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   </w:t>
      </w:r>
    </w:p>
    <w:tbl>
      <w:tblGrid>
        <w:gridCol w:w="3495" w:type="dxa"/>
        <w:gridCol w:w="5835" w:type="dxa"/>
      </w:tblGrid>
      <w:tblPr>
        <w:tblW w:w="5000" w:type="pct"/>
        <w:tblLayout w:type="autofit"/>
      </w:tblPr>
      <w:tr>
        <w:trPr/>
        <w:tc>
          <w:tcPr>
            <w:tcW w:w="3495" w:type="dxa"/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Հայաստանի Հանրապետության</w:t>
            </w:r>
            <w:br/>
            <w:r>
              <w:rPr>
                <w:b w:val="1"/>
                <w:bCs w:val="1"/>
              </w:rPr>
              <w:t xml:space="preserve"> վարչապետի աշխատակազմի</w:t>
            </w:r>
            <w:br/>
            <w:r>
              <w:rPr>
                <w:b w:val="1"/>
                <w:bCs w:val="1"/>
              </w:rPr>
              <w:t xml:space="preserve"> ղեկավար</w:t>
            </w:r>
          </w:p>
        </w:tc>
        <w:tc>
          <w:tcPr>
            <w:tcW w:w="5835" w:type="dxa"/>
            <w:noWrap/>
          </w:tcPr>
          <w:p>
            <w:pPr>
              <w:jc w:val="end"/>
            </w:pPr>
            <w:r>
              <w:rPr>
                <w:b w:val="1"/>
                <w:bCs w:val="1"/>
              </w:rPr>
              <w:t xml:space="preserve">Ա. Հարությունյան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9D2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2026-03-31T17:50:22+04:00</dcterms:created>
  <dcterms:modified xsi:type="dcterms:W3CDTF">2026-03-31T17:50:22+04:00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