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 ԱՆՄԱՔՍ ԱՌԵՎՏՐԻ ԽԱՆՈՒԹԻ ՏԻՐԱՊԵՏՈՂՆԵՐԻ ՌԵԵՍՏՐՈՒՄ ԸՆԴԳՐԿՎԵԼՈՒ ՆՊԱՏԱԿՈՎ ՆԱԽԱՈՐԱԿԱՎՈՐՄԱՆ ԿԱՐԳԸ ՍԱՀՄԱՆԵԼՈՒ ՄԱՍԻՆ» ՀՀ ԿԱՌԱՎԱՐՈՒԹՅԱՆ ՈՐՈՇՄԱՆ ՆԱԽԱԳԾԻ</w:t>
      </w:r>
      <w:bookmarkEnd w:id="0"/>
    </w:p>
    <w:p>
      <w:pPr/>
      <w:r>
        <w:rPr>
          <w:b w:val="1"/>
          <w:bCs w:val="1"/>
        </w:rPr>
        <w:t xml:space="preserve">-ՆԱԽԱԳԻԾ-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2022 թվականի N 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ԱՆՄԱՔՍ ԱՌԵՎՏՐԻ ԽԱՆՈՒԹԻ ՏԻՐԱՊԵՏՈՂՆԵՐԻ ՌԵԵՍՏՐՈՒՄ ԸՆԴԳՐԿՎԵԼՈՒ ՆՊԱՏԱԿՈՎ ՆԱԽԱՈՐԱԿԱՎՈՐՄԱՆ ԿԱՐԳ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 ՍԱՀՄԱՆԵԼՈՒ</w:t>
      </w:r>
      <w:r>
        <w:rPr>
          <w:b w:val="1"/>
          <w:bCs w:val="1"/>
        </w:rPr>
        <w:t xml:space="preserve">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Եվրասիական տնտեսական միության մաքսային օրենսգրքի 427-րդ հոդվածը, «Մաքսային կարգավորման մասին» օրենքի 284-րդ հոդվածի 2-րդ մասը՝</w:t>
      </w:r>
    </w:p>
    <w:p>
      <w:pPr/>
      <w:r>
        <w:rPr/>
        <w:t xml:space="preserve">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Սահմանել անմաքս առևտրի խանութի տիրապետողների ռեեստրում ընդգրկվելու նպատակով նախաորակավորման կարգը՝ համաձայն հավելվածի։ 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>
        <w:numPr>
          <w:ilvl w:val="0"/>
          <w:numId w:val="3"/>
        </w:numPr>
      </w:pPr>
      <w:r>
        <w:rPr/>
        <w:t xml:space="preserve">Անմաքս առևտրի խանութի տիրապետողների ռեեստրում ընդգրկվելու վերաբերյալ դիմում կարող են ներկայացնել և անմաքս առևտրի կազմակերպման նպատակով պետական կամ համայնքային գույքի վարձակալության մրցույթին կարող են մասնակցել սույն որոշմամբ սահմանված կարգով նախաորակավորված իրավաբանական անձինք.</w:t>
      </w:r>
    </w:p>
    <w:p>
      <w:pPr>
        <w:numPr>
          <w:ilvl w:val="0"/>
          <w:numId w:val="3"/>
        </w:numPr>
      </w:pPr>
      <w:r>
        <w:rPr/>
        <w:t xml:space="preserve">Մինչև սույն որոշումն ուժի մեջ մտնելը անմաքս առևտրի խանութի տիրապետողների ռեեստրում ընդգրկված իրավաբանական անձինք սույն որոշումն ուժի մեջ մտնելուց հետո 6 ամսյա ժամկետում պետք է անցնեն սույն որոշմամբ սահմանված կարգով նախատեսված նախաորակավորումը․</w:t>
      </w:r>
    </w:p>
    <w:p>
      <w:pPr>
        <w:numPr>
          <w:ilvl w:val="0"/>
          <w:numId w:val="3"/>
        </w:numPr>
      </w:pPr>
      <w:r>
        <w:rPr/>
        <w:t xml:space="preserve">Սույն կետի 2-րդ ենթակետում նշված անձինք սահմանված ժամկետում նախաորակավորումը չանցնելու կամ նախավորակավորման գործընթացին չմասնակցելու դեպքում համարվում են նախավորակավորում չանցած և 6 ամսյա ժամկետի լրանալուց հետո 5 օրյա ժամկետում մաքսային մարմնի կողմից հանվում են անմաքս առևտրի խանութի տիրապետողների ռեեստրից։</w:t>
      </w:r>
    </w:p>
    <w:p>
      <w:pPr>
        <w:numPr>
          <w:ilvl w:val="0"/>
          <w:numId w:val="4"/>
        </w:numPr>
      </w:pPr>
      <w:r>
        <w:rPr/>
        <w:t xml:space="preserve">Սույն որոշմամբ հաստատված կարգի 11-րդ կետում նշված մարմիններին` որոշումն ուժի մեջ մտնելուց հետո 10 օրյա ժամկետում հանձնաժողովի կազմը հաստատելու նպատակով Հայաստանի Հանրապետության պետական եկամուտների կոմիտե ներկայացնել իրենց լիազոր ներկայացուցիչների տվյալները։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Սույն որոշումն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ՎԱՐՉԱՊԵՏ                                                              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Հավելված                                                                                  ՀՀ կառավարության 2022</w:t>
      </w:r>
      <w:r>
        <w:rPr/>
        <w:t xml:space="preserve"> </w:t>
      </w:r>
      <w:r>
        <w:rPr>
          <w:b w:val="1"/>
          <w:bCs w:val="1"/>
        </w:rPr>
        <w:t xml:space="preserve">թվականի                                                                                                                  --------------------ի N ------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ԿԱՐԳ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ԱՆՄԱՔՍ ԱՌԵՎՏՐԻ ԽԱՆՈՒԹԻ ՏԻՐԱՊԵՏՈՂԻ ՌԵԵՍՏՐՈՒՄ ԸՆԴԳՐԿՎԵԼՈՒ ՆՊԱՏԱԿՈՎ ՆԱԽԱՈՐԱԿԱՎՈՐՄԱՆ 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ԸՆԴՀԱՆՈՒՐ ԴՐՈՒՅԹՆԵՐ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Սույն կարգով (այսուհետ` Կարգ) սահմանվում են Հայաստանի Հանրապետությունում անմաքս առևտրի խանութի տիրապետողի ռեեստրում ընդգրկվելու նպատակով նախաորակավորման գործընթացի անցկացման ընթացակարգերը, գնահատման չափանիշները և դիմումներին ներկայացվող պահանջները:</w:t>
      </w:r>
    </w:p>
    <w:p>
      <w:pPr>
        <w:numPr>
          <w:ilvl w:val="0"/>
          <w:numId w:val="6"/>
        </w:numPr>
      </w:pPr>
      <w:r>
        <w:rPr/>
        <w:t xml:space="preserve">Կարգում օգտագործվող հասկացությունները կիրառվում են Եվրասիական տնտեսական միության մաքսային օրենսգրքի և «Մաքսային կարգավորման մասին» օրենքով սահմանված իմաստներով: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ՆԱԽԱՎՈՐԱԿԱՎՈՐՄԱՆ ՆՊԱՏԱԿՈՎ ՆԵՐԿԱՅԱՑՎԱԾ ՆԵՐԴՐՈՒՄԱՅԻՆ ԾՐԱԳՐԻՆ ՆԵՐԿԱՅԱՑՎՈՂ ՊԱՀԱՆՋՆԵՐԸ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Նախաորակավորման նպատակով իրավաբանական անձինք սույն կարգի 11-րդ կետով նախատեսված հանձնաժողովին են ներկայացնում անմաքս առևտրի խանութի ներդրումային ծրագիր (այսուհետ Ծրագիր)։</w:t>
      </w:r>
    </w:p>
    <w:p>
      <w:pPr>
        <w:numPr>
          <w:ilvl w:val="0"/>
          <w:numId w:val="8"/>
        </w:numPr>
      </w:pPr>
      <w:r>
        <w:rPr/>
        <w:t xml:space="preserve">Ծրագիրը պետք է համապատասխանի հետևյալ պահանջներին․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հանդիսանում է հարկման ընդհանուր համակարգում գործող իրավաբանական անձ,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 ապրանքների շարժի օրենսդրությամբ սահմանված ձևով էլեկտրոնային հաշվառումը (այդ թվում` գործարքների փաստաթղթավորմանը, ժամկետները և մնացորդը) և էլեկտրոնային համակարգին մաքսային մարմնի համար լրիվ հասանելիություն, այդ թվում նստեցման կտրոնների առցանց հաշվառումը և այդ տեղեկատվության փոխանակումը հարկային մարմնի հետ, գնում կատարած ֆիզիկական անձանց տվյալները անհատապես նույնականացնելու համար, և օրենսդրությամբ սահմանված կարգով ու ժամկետներում մաքսային մարմնին կներկայացնի համապատասխան հաշվետվություններ և տեղեկատվություն,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 անմաքս առևտրի խանութում տեսանկարահանող սարքերի և այդ սարքերի ձայնագրման հնարավորության առկայությունը, այնպես, որպեսզի հնարավոր լինի դիտարկել անմաքս առևտրի խանութի ամբողջ տարածքը, ինչպես նաև այդ սարքերին ու ձայնագրություններին ամբողջական հասանելիությունը մաքսային մարմնի համար,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 անմաքս առևտրի խանութում սանիտարահիգիենիկ պայմանների և հրդեհային անվտանգության պահանջների պահպանումը,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անմաքս առևտրի խանութում իրացվող ապրանքների առնվազն 30%-ը լինեն տեղական արտադրության ապրանքներ։ Ընդ որում, տեղական արտադրության ապրանքները պետք է տեղադրվեն վաճառքի համար առավել տեսանելի վայրում,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տալիս է համաձայնություն ապրանքների վաճառքի տաղավարների տեղադրման վայրերը մաքսային մարմնի կողմից որոշելու համար,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 օդանավակայանների անմաքս առևտրի խանութում ապրանքների իրացման կազմակերպումը բացառապես նստեցման կտրոնների հիման վրա,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մեկնման համար նախատեսված անմաքս առևտրի խանութի գործունեությունը պետք է կազմակերպի այնպես, որպեսզի բացառվի ժամանող անձանց մուտքը մեկնման համար նախատեսված անմաքս առևտրի խանութ և ժամանող անձանց տվյալ անմաքս առևտրի խանութից ապրանքների օտարումը,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ժամանման համար նախատեսված անմաքս առևտրի խանութի գործունեությունը պետք է կազմակերպի այնպես, որպեսզի բացառվի մեկնող անձանց մուտքը ժամանման համար նախատեսված անմաքս առևտրի խանութ և մեկնող անձանց տվյալ անմաքս առևտրի խանութից ապրանքների օտարումը,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ժամանման համար նախատեսված անմաքս առևտի խանութը պետք է տեղակայված լինի նախքան մաքսային հսկողության անցկացման վայրը,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մեկնման համար նախատեսված անմաքս առևտրի խանութը պետք է տեղակայված լինի մաքսային հսկողության անցկացման վայրից հետո,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վաճառքի սրահները պետք է առանձնացված լինեն անմաքս առևտրի պահեստային սրահներից,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պետք է ունենա անմաքս առևտրի խանութի սխեմատիկ պատկերը՝ յուրաքանչյուր ապրանքի վաճառքի համար նախատեսված վայրերի նշումով՝ համաձայնեցված մաքսային մարմնի հետ,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վաճառքի համար նախատեսված բոլոր ապրանքները պետք է պարունակեն հստակ նշում, որ վաճառքի գնի մեջ ներառված չեն մաքսատուրքերը և ԱԱՀ,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եթե որևէ տեսակի ապրանքի արտահանման համար պահանջվում է թույլատվական փաստաթուղթ, ապա այդ ապրանքները կարող են իրացվել միայն թույլատվական փաստաթղթի առկայությամբ․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անմաքս առևտրի խանութում ապրանքները իրացնելուց առաջ անմաքս առևտրի խանութի տիրապետողը պետք է ստուգի անձի նստեցման կտրոնը (օդանավակայաններում) և անձնագիրը՝ հավաստիանալու, որ տվյալ անձը անմաքս խանութից առևտուր անելու իրավասություն ունի,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օդանավակայաններում տեղակայված անմաքս առևտրի խանութը ապրանքի վաճառքը իրականացնելուց պետք է տպի համապատասխան վաճառքի կտրոն, որի վրա պետք է արտացոլվի թռիչքի համարը և նստեցման կտրոնի վրա նշված նստեցման տեղը,</w:t>
      </w:r>
    </w:p>
    <w:p>
      <w:pPr>
        <w:numPr>
          <w:ilvl w:val="0"/>
          <w:numId w:val="9"/>
        </w:numPr>
      </w:pPr>
      <w:r>
        <w:rPr/>
        <w:t xml:space="preserve">Ծրագիրը պետք է պարունակի դրույթներ առ այն, որ դիմումատուն ապահովում է, որ վաճառքի կտրոնը պետք է ունենա առանձին համար և տպվի երկու օրինակից, որոնց վրա պետք է արտացոլված լինի առնվազն հետևյալ տեղեկատվությունը․</w:t>
      </w:r>
    </w:p>
    <w:p>
      <w:pPr/>
      <w:r>
        <w:rPr/>
        <w:t xml:space="preserve">ա․ անմաքս խանութի հասցեն, գործունեության իրականացման վայրի հասցեն և ռեեստրում ընդգրկման վկայականի համարը, որտեղից ձեռք է բերվում ապրանքը,</w:t>
      </w:r>
    </w:p>
    <w:p>
      <w:pPr/>
      <w:r>
        <w:rPr/>
        <w:t xml:space="preserve">բ․ գնորդի Ժամանման կամ մեկնման ամսաթիվը,</w:t>
      </w:r>
    </w:p>
    <w:p>
      <w:pPr/>
      <w:r>
        <w:rPr/>
        <w:t xml:space="preserve">գ․ օդային տրանսպորտով մեկնող անձանց մասով՝ ժամանման վայրի օդանավակայանը,</w:t>
      </w:r>
    </w:p>
    <w:p>
      <w:pPr/>
      <w:r>
        <w:rPr/>
        <w:t xml:space="preserve">դ․ օդային տրանսպորտով ժամանող անձանց մասով՝ մեկնման վայրի օդանավակայանը,</w:t>
      </w:r>
    </w:p>
    <w:p>
      <w:pPr/>
      <w:r>
        <w:rPr/>
        <w:t xml:space="preserve">ե․ օդային տրանսպորտով երթևեկող անձանց մասով՝ թռիչքի համարը և նստեցման համարը,</w:t>
      </w:r>
    </w:p>
    <w:p>
      <w:pPr/>
      <w:r>
        <w:rPr/>
        <w:t xml:space="preserve">զ․ վաճառվող ապրանքների հստակ նկարագրությունը,</w:t>
      </w:r>
    </w:p>
    <w:p>
      <w:pPr/>
      <w:r>
        <w:rPr/>
        <w:t xml:space="preserve">է․ վաճառվող ապրանքների քանակը,</w:t>
      </w:r>
    </w:p>
    <w:p>
      <w:pPr/>
      <w:r>
        <w:rPr/>
        <w:t xml:space="preserve">ը․ վաճառվող ապրանքների արժեքը ՀՀ դրամով,</w:t>
      </w:r>
    </w:p>
    <w:p>
      <w:pPr/>
      <w:r>
        <w:rPr/>
        <w:t xml:space="preserve">թ․ վաճառվող ապրանքի ծածկագիրը ըստ ԱՏԳ ԱԱ-ի՝ 11 նիշի մակարդակով,</w:t>
      </w:r>
    </w:p>
    <w:p>
      <w:pPr>
        <w:numPr>
          <w:ilvl w:val="0"/>
          <w:numId w:val="10"/>
        </w:numPr>
      </w:pPr>
      <w:r>
        <w:rPr/>
        <w:t xml:space="preserve">Ծրագիրը պետք է պարունակի դրույթներ առ այն, որ դիմումատուն պետք է ներկայացնի անմաքս առևտրի խանութում իրացման ենթակա ապրանքների մաքսատուրքի վճարման ապահովում անմաքս առևտրի խանութում նախատեսվող իրացման ենթակա ապրանքների մաքսատուրքի չափով։ Ընդ որում, նշված վճարների կատարման ապահովման եղանակ է հանդիսանում Հայաստանի Հանրապետության օրենսդրությամբ սահմանված կարգով լիցենզավորված բանկերի և վարկային կազմակերպությունների տված երաշխիքը, ապահովագրական ընկերությունների կողմից երաշխիքի տրամադրման դասով իրականացված ապահովագրությունը կամ կանխիկի գրավադրումը։ Ընդ որում, նախավորակավորումը չանցնելու դեպքում նշված գումարը ետ է վերադարձվում։ Նախավորակավորումը անցնելու դեպքում վճարման ապահովումը շարունակում է պահպանվել մինչև անմաքս առևտրի խանութի գործունեության դադարեցումը և մաքսատուրքերի ու հարկերի ամբողջական վճարումը։ Մաքսային մարմինը կարող է գրավոր պահանջ ներկայացնել վճարի ապահովման չափի ավելացման մասին՝ հաշվի առնելով անմաքս խանութ ներմուծված ապրանքներն ու դրանց արժեքը,</w:t>
      </w:r>
    </w:p>
    <w:p>
      <w:pPr>
        <w:numPr>
          <w:ilvl w:val="0"/>
          <w:numId w:val="10"/>
        </w:numPr>
      </w:pPr>
      <w:r>
        <w:rPr/>
        <w:t xml:space="preserve">Ծրագիրը պետք է պարունակի դրույթներ առ այն, որ դիմումատուն ապահովում է, որ եթե օտարերկրյա ապրանքը վաճառվել է մեկ անդամ պետությունից մեկ այլ անդամ պետություն մեկնող ֆիզիկական անձանց և մեկ անդամ պետությունից մեկ այլ անդամ պետություն մուտք գործող ֆիզիկական անձանց, ապա այդ ընթացակարգը ավարտվի «ներքին սպառման համար բացթողում» մաքսային ընթացակարգով և առաջացած մաքսատուրք վճարվի անմաքս առևտրի խանութի տիրապետողի կողմից,</w:t>
      </w:r>
    </w:p>
    <w:p>
      <w:pPr>
        <w:numPr>
          <w:ilvl w:val="0"/>
          <w:numId w:val="10"/>
        </w:numPr>
      </w:pPr>
      <w:r>
        <w:rPr/>
        <w:t xml:space="preserve">Ծրագիրը պետք է պարունակի Եվրասիական տնտեսական միության մաքսային օրենսգրքի մասին» 11.04.2017թ. պայմանագրի 1-ին հավելվածով հաստատված` Եվրասիական տնտեսական միության մաքսային օրենսգրքի 33-րդ գլխով և «Մաքսային կարգավորման մասին» Հայաստանի Հանրապետության օրնքի 30-րդ գլխով սահմանված՝ «Անմաքս առևտուր» մաքսային ընթացակարգով ապրանքների ձևակերպման պայմանների պահպանման հավաստման վերաբերյալ տեղեկատվություն,</w:t>
      </w:r>
    </w:p>
    <w:p>
      <w:pPr>
        <w:numPr>
          <w:ilvl w:val="0"/>
          <w:numId w:val="10"/>
        </w:numPr>
      </w:pPr>
      <w:r>
        <w:rPr/>
        <w:t xml:space="preserve">Ծրագիրը պետք է պարունակի դրույթներ առ այն, որ դիմումատուն ապահովում է անմաքս առևտրի խանութի տիրապետողի տարեկան արտաքին աուդիտի իրականացումը մաքսային մարմնի պաշտոնական ինտերնետային կայքում հրապարակված աուդիտորական ընկերությունների ցանկում ներառված որևէ ընկերության կողմից և աուդիտի եզրակացության ներկայացումը մաքսային մարմնին։ Ծրագիրը պետք է ներառի դրույթ, որ դիմումատուն տալիս է իր անվերապահ համաձայնությունը աուդիտի եզրակացությունը մաքսային մարմնի կողմից հրապարակելու համար։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ԱՆՄԱՔՍ ԱՌԵՎՏՐԻ ԽԱՆՈՒԹԻ ՏԻՐԱՊԵՏՈՂԻ ՌԵԵՍՏՐՈՒՄ ԸՆԴԳՐԿՎԵԼՈՒ ՆՊԱՏԱԿՈՎ ՆԱԽԱՈՐԱԿԱՎՈՐՄԱՆ</w:t>
      </w:r>
      <w:r>
        <w:rPr/>
        <w:t xml:space="preserve"> </w:t>
      </w:r>
      <w:r>
        <w:rPr>
          <w:b w:val="1"/>
          <w:bCs w:val="1"/>
        </w:rPr>
        <w:t xml:space="preserve">ԳՈՐԾԸՆԹԱՑԻ ԱՆՑԿԱՑՄԱՆ ԸՆԹԱՑԱԿԱՐԳԸ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Անմաքս առևտրի խանութի տիրապետողի ռեեստրում ընդգրկվելու նպատակով նախաորակավորմանը մասնակցելու հայտարարությունը հրապարակվում է Հայաստանի Հանրապետության պետական եկամուտների կոմիտեի պաշտոնական ինտերնետային կայքում։</w:t>
      </w:r>
    </w:p>
    <w:p>
      <w:pPr>
        <w:numPr>
          <w:ilvl w:val="0"/>
          <w:numId w:val="12"/>
        </w:numPr>
      </w:pPr>
      <w:r>
        <w:rPr/>
        <w:t xml:space="preserve">Նախավորակավորման մասնակցության համար փաստաթղթերի ընդունումն իրականացվում է հայտարարության մեջ նշված եղանակով։</w:t>
      </w:r>
    </w:p>
    <w:p>
      <w:pPr>
        <w:numPr>
          <w:ilvl w:val="0"/>
          <w:numId w:val="12"/>
        </w:numPr>
      </w:pPr>
      <w:r>
        <w:rPr/>
        <w:t xml:space="preserve">Նախաորակավորման հայտարարությունը հրապարակվում է նախավորակավորման դիմումների ընդունման վերջնաժամկետից առնվազն 2 ամիս առաջ։</w:t>
      </w:r>
    </w:p>
    <w:p>
      <w:pPr>
        <w:numPr>
          <w:ilvl w:val="0"/>
          <w:numId w:val="12"/>
        </w:numPr>
      </w:pPr>
      <w:r>
        <w:rPr/>
        <w:t xml:space="preserve">Նախաորակավորման հայտարարությամբ հրապարակվում են՝</w:t>
      </w:r>
    </w:p>
    <w:p>
      <w:pPr>
        <w:numPr>
          <w:ilvl w:val="0"/>
          <w:numId w:val="13"/>
        </w:numPr>
      </w:pPr>
      <w:r>
        <w:rPr/>
        <w:t xml:space="preserve">նախաորակավորմանը նպատակով ներկայացված ներդրումային ծրագրին ներկայացվող պահանջները,</w:t>
      </w:r>
    </w:p>
    <w:p>
      <w:pPr>
        <w:numPr>
          <w:ilvl w:val="0"/>
          <w:numId w:val="13"/>
        </w:numPr>
      </w:pPr>
      <w:r>
        <w:rPr/>
        <w:t xml:space="preserve">նախաորակավորման մասնակցության դիմումի ձևանմուշը՝ համաձայն N 1 Ձևի,</w:t>
      </w:r>
    </w:p>
    <w:p>
      <w:pPr>
        <w:numPr>
          <w:ilvl w:val="0"/>
          <w:numId w:val="13"/>
        </w:numPr>
      </w:pPr>
      <w:r>
        <w:rPr/>
        <w:t xml:space="preserve">դիմումի ներկայացման վերջնաժամկետը,</w:t>
      </w:r>
    </w:p>
    <w:p>
      <w:pPr>
        <w:numPr>
          <w:ilvl w:val="0"/>
          <w:numId w:val="13"/>
        </w:numPr>
      </w:pPr>
      <w:r>
        <w:rPr/>
        <w:t xml:space="preserve">դիմումին կից ներկայացվող փաստաթղթերը,</w:t>
      </w:r>
    </w:p>
    <w:p>
      <w:pPr>
        <w:numPr>
          <w:ilvl w:val="0"/>
          <w:numId w:val="13"/>
        </w:numPr>
      </w:pPr>
      <w:r>
        <w:rPr/>
        <w:t xml:space="preserve">այլ անհրաժեշտ տեղեկատվություն։</w:t>
      </w:r>
    </w:p>
    <w:p>
      <w:pPr>
        <w:numPr>
          <w:ilvl w:val="0"/>
          <w:numId w:val="14"/>
        </w:numPr>
      </w:pPr>
      <w:r>
        <w:rPr/>
        <w:t xml:space="preserve">Դիմումին պետք է կցվեն հետևյալ փաստաթղթերը`</w:t>
      </w:r>
    </w:p>
    <w:p>
      <w:pPr>
        <w:numPr>
          <w:ilvl w:val="0"/>
          <w:numId w:val="15"/>
        </w:numPr>
      </w:pPr>
      <w:r>
        <w:rPr/>
        <w:t xml:space="preserve">անմաքս առևտրի խանութի դիզայնի կոնցեպտը,</w:t>
      </w:r>
    </w:p>
    <w:p>
      <w:pPr>
        <w:numPr>
          <w:ilvl w:val="0"/>
          <w:numId w:val="15"/>
        </w:numPr>
      </w:pPr>
      <w:r>
        <w:rPr/>
        <w:t xml:space="preserve">տվյալ ոլորտում գործունեության փորձի՝ այդ թվում այլ երկրներում գործելու հանգամանքի (հանդիսանում է արդյոք միջազգային ցանց, թե՝ ոչ) վերաբերյալ փաստաթղթեր,</w:t>
      </w:r>
    </w:p>
    <w:p>
      <w:pPr>
        <w:numPr>
          <w:ilvl w:val="0"/>
          <w:numId w:val="15"/>
        </w:numPr>
      </w:pPr>
      <w:r>
        <w:rPr/>
        <w:t xml:space="preserve">խանութում ներկայացվելիք բրենդների և ապրանքատեսականու վերաբերյալ տեղեկատվությունը հավաստող փաստաթղթեր (կնքված պայմանագիր, Մտադրությունների մասին նամակ),</w:t>
      </w:r>
    </w:p>
    <w:p>
      <w:pPr>
        <w:numPr>
          <w:ilvl w:val="0"/>
          <w:numId w:val="15"/>
        </w:numPr>
      </w:pPr>
      <w:r>
        <w:rPr/>
        <w:t xml:space="preserve">խանութում ներկայացվելիք տեղական արտադրության ապրանքատեսակների վերաբերյալ տեղեկատվություն (կնքված պայմանագիր, Մտադրությունների մասին նամակ),</w:t>
      </w:r>
    </w:p>
    <w:p>
      <w:pPr>
        <w:numPr>
          <w:ilvl w:val="0"/>
          <w:numId w:val="15"/>
        </w:numPr>
      </w:pPr>
      <w:r>
        <w:rPr/>
        <w:t xml:space="preserve">անմաքս առևտրի խանութի գործունեությամբ զբաղվելու ներդրումային ծրագիրը, որը պետք է ներառի տեղեկատվություն ներդրումային ծրագրի իրականացման ժամկետի, նախատեսվող ներդրումների չափի և ուղղությունների մասին (շինարարություն, հիմնական միջոցներ, շրջանառու միջոցներ և այլն),</w:t>
      </w:r>
    </w:p>
    <w:p>
      <w:pPr>
        <w:numPr>
          <w:ilvl w:val="0"/>
          <w:numId w:val="15"/>
        </w:numPr>
      </w:pPr>
      <w:r>
        <w:rPr/>
        <w:t xml:space="preserve">սույն կարգով նախատեսված նախավորակավորման համար ներկայացվող պահանջներին բավարարումը հավաստող փաստաթղթեր (առկայության դեպքում)</w:t>
      </w:r>
    </w:p>
    <w:p>
      <w:pPr>
        <w:numPr>
          <w:ilvl w:val="0"/>
          <w:numId w:val="15"/>
        </w:numPr>
      </w:pPr>
      <w:r>
        <w:rPr/>
        <w:t xml:space="preserve">անմաքս առևտրի խանութի ներդրումային ծրագիրը։</w:t>
      </w:r>
    </w:p>
    <w:p>
      <w:pPr>
        <w:numPr>
          <w:ilvl w:val="0"/>
          <w:numId w:val="16"/>
        </w:numPr>
      </w:pPr>
      <w:r>
        <w:rPr/>
        <w:t xml:space="preserve">Նախաորակավորումն իրականացվում է հատուկ այդ նպատակով ստեղծված հանձնաժողովի կողմից։</w:t>
      </w:r>
    </w:p>
    <w:p>
      <w:pPr>
        <w:numPr>
          <w:ilvl w:val="0"/>
          <w:numId w:val="16"/>
        </w:numPr>
      </w:pPr>
      <w:r>
        <w:rPr/>
        <w:t xml:space="preserve">Հանձնաժողովը կազմված է 6 անդամից` այդ թվում նախագահը և քարտուղարը: Հանձնաժողովի նախագահ է հանդիսանում ի պաշտոնե Հայաստանի Հանրապետության պետական եկամուտների կոմիտեի նախագահը, կամ պետական եկամուտների կոմիտեի նախագահի որոշմամբ նրա մաքսային ոլորտը համակարգող տեղակալը, իսկ քարտուղար` Հայաստանի Հանրապետության պետական եկամուտների կոմիտեի համապատասխան ստորաբաժանման ներկայացուցիչը:</w:t>
      </w:r>
    </w:p>
    <w:p>
      <w:pPr>
        <w:numPr>
          <w:ilvl w:val="0"/>
          <w:numId w:val="16"/>
        </w:numPr>
      </w:pPr>
      <w:r>
        <w:rPr/>
        <w:t xml:space="preserve">Հանձնաժողովը ձևավորվում է հետևյալ կազմով` Հայաստանի Հանրապետության պետական եկամուտների կոմիտեից երկու, Հայաստանի Հանրապետության ֆինանսների նախարարությունից, Հայաստանի Հանրապետության էկոնոմիկայի նախարարությունից, գործարարության աջակցման գրասենյակից և Ներդրումների աջակցման կենտրոնից մեկական անձ: Հանձնաժողովի կազմը, վերը նշված մարմիններից ստացված տեղեկատվության հիման վրա, հաստատում է Հայաստանի Հանրապետության պետական եկամուտների կոմիտեի նախագահը:</w:t>
      </w:r>
    </w:p>
    <w:p>
      <w:pPr>
        <w:numPr>
          <w:ilvl w:val="0"/>
          <w:numId w:val="16"/>
        </w:numPr>
      </w:pPr>
      <w:r>
        <w:rPr/>
        <w:t xml:space="preserve">Հանձնաժողովի նախագահը, նախաորակավորմանը մասնակցելու համար անհրաժեշտ փաստաթղթերի ընդունման վերջնաժամկետից հետո, 2 աշխատանքային օրվա ընթացքում, հանձնաժողովի անդամներին է ներկայացնում ստացված դիմումները:</w:t>
      </w:r>
    </w:p>
    <w:p>
      <w:pPr>
        <w:numPr>
          <w:ilvl w:val="0"/>
          <w:numId w:val="16"/>
        </w:numPr>
      </w:pPr>
      <w:r>
        <w:rPr/>
        <w:t xml:space="preserve">Հանձնաժողովն իր գործունեությունն իրականացնում է նիստեր հրավիրելու միջոցով, որոնք իրավազոր են, եթե վերջիններիս մասնակցում է հանձնաժողովի անդամների առնվազն 2/3-ը, իսկ հանձնաժողովի անդամների 2/3-ից պակաս լինելու դեպքում նիստը համարվում է չկայացած և նշանակվում է նոր նիստ: Հանձնաժողովը նոր նիստի օրվա և ժամի մասին տեղեկացնում է բոլոր դիմումատուներին:</w:t>
      </w:r>
    </w:p>
    <w:p>
      <w:pPr>
        <w:numPr>
          <w:ilvl w:val="0"/>
          <w:numId w:val="16"/>
        </w:numPr>
      </w:pPr>
      <w:r>
        <w:rPr/>
        <w:t xml:space="preserve">Հանձնաժողովի նիստերը նախագահում է հանձնաժողովի նախագահը, իսկ նրա բացակայության դեպքում՝ հանձնաժողովի անդամներից որևէ մեկը` հանձնաժողովի նախագահի հանձնարարությամբ։</w:t>
      </w:r>
    </w:p>
    <w:p>
      <w:pPr>
        <w:numPr>
          <w:ilvl w:val="0"/>
          <w:numId w:val="16"/>
        </w:numPr>
      </w:pPr>
      <w:r>
        <w:rPr/>
        <w:t xml:space="preserve">Հանձնաժողովի նախագահը, հանձնաժողովի անդաններին դիմումների ներկայացման վերջնաժամկետի օրվան հաջորդող օրվանից հաշվարկված 5 աշխատանքային օրվանից ոչ շուտ և 10 աշխատանքային օրվանից ոչ ուշ հրավիրում է հանձնաժողովի նիստ։</w:t>
      </w:r>
    </w:p>
    <w:p>
      <w:pPr>
        <w:numPr>
          <w:ilvl w:val="0"/>
          <w:numId w:val="16"/>
        </w:numPr>
      </w:pPr>
      <w:r>
        <w:rPr/>
        <w:t xml:space="preserve">Հանձնաժողովի յուրաքանչյուր նիստի համար կազմվում է արձանագրություն: Արձանագրություններն ստորագրվում են հանձնաժողովի նախագահի և նիստին մասնակցած մյուս անդամների կողմից:</w:t>
      </w:r>
    </w:p>
    <w:p>
      <w:pPr>
        <w:numPr>
          <w:ilvl w:val="0"/>
          <w:numId w:val="16"/>
        </w:numPr>
      </w:pPr>
      <w:r>
        <w:rPr/>
        <w:t xml:space="preserve">Դիմումատուները նախաորակավորում ստանալու կամ նախաորակավորումը մերժելու մասին գործընթացի արդյունքների ամփոփումից հետո երկու աշխատանքային օրվա ընթացքում տեղեկացվում են հանձնաժողովի նախագահի կողմից էլեկտրոնային փոստի միջոցով: Ընդ որում, նշված տեղեկատվությունը հրապարակվում է նաև պետական եկամուտների կոմիտեի պաշտոնական ինտերնետային կայքում։</w:t>
      </w:r>
    </w:p>
    <w:p>
      <w:pPr>
        <w:numPr>
          <w:ilvl w:val="0"/>
          <w:numId w:val="16"/>
        </w:numPr>
      </w:pPr>
      <w:r>
        <w:rPr/>
        <w:t xml:space="preserve">Նախավորակավորումն իրականացվում է երեք տարի ժամկետով, որից հետո անձը համարվում է նախավորակավորում չանցած:</w:t>
      </w:r>
    </w:p>
    <w:p>
      <w:pPr>
        <w:numPr>
          <w:ilvl w:val="0"/>
          <w:numId w:val="16"/>
        </w:numPr>
      </w:pPr>
      <w:r>
        <w:rPr/>
        <w:t xml:space="preserve">Անձը զրկվում է նախավորակավորումից, եթե մաքսային մարմնի կողմից հայտնաբերվում է նախավորակված անձի կողմից նախավորակավորման պահանջներից որևէ մեկի խախտման դեպք և մաքսային մարմնի կողմից սահմանված ժամկետում տվյալ խախտումը չի վերացվում։</w:t>
      </w:r>
    </w:p>
    <w:p>
      <w:pPr>
        <w:numPr>
          <w:ilvl w:val="0"/>
          <w:numId w:val="16"/>
        </w:numPr>
      </w:pPr>
      <w:r>
        <w:rPr/>
        <w:t xml:space="preserve">Անձը համարվում է նախաորակավորված դիմումի գնահատման արդյունքում` սույն Կարգի 4-րդ գլխում նշված գնահատման չափանիշների հիման վրա: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ԴԻՄՈՒՄԻ ԳՆԱՀԱՏՄԱՆ ՉԱՓԱՆԻՇՆԵՐԸ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Դիմումը գնահատվում է հանձնաժողովի կողմից սույն կարգի 23-րդ կետում նշված չափանիշներին N 2 ձևով նախատեսված մինչև առավելագույն միավորներ տրամադրելու միջոցով։</w:t>
      </w:r>
    </w:p>
    <w:p>
      <w:pPr>
        <w:numPr>
          <w:ilvl w:val="0"/>
          <w:numId w:val="18"/>
        </w:numPr>
      </w:pPr>
      <w:r>
        <w:rPr/>
        <w:t xml:space="preserve">Դիմումի գնահատման չափանիշներն են`</w:t>
      </w:r>
    </w:p>
    <w:p>
      <w:pPr>
        <w:numPr>
          <w:ilvl w:val="0"/>
          <w:numId w:val="19"/>
        </w:numPr>
      </w:pPr>
      <w:r>
        <w:rPr/>
        <w:t xml:space="preserve">խանութի դիզայնի կոնցեպտը,</w:t>
      </w:r>
    </w:p>
    <w:p>
      <w:pPr>
        <w:numPr>
          <w:ilvl w:val="0"/>
          <w:numId w:val="19"/>
        </w:numPr>
      </w:pPr>
      <w:r>
        <w:rPr/>
        <w:t xml:space="preserve">տվյալ ոլորտում գործունեության փորձի՝ այդ թվում այլ երկրներում գործելու հանգամանքը (հանդիսանում է արդյոք միջազգային ցանց, թե՝ ոչ),</w:t>
      </w:r>
    </w:p>
    <w:p>
      <w:pPr>
        <w:numPr>
          <w:ilvl w:val="0"/>
          <w:numId w:val="19"/>
        </w:numPr>
      </w:pPr>
      <w:r>
        <w:rPr/>
        <w:t xml:space="preserve">խանութում ներկայացվելիք բրենդները և ապրանքատեսականին (հիմնավորված համապատասխան պայմանագրերով),</w:t>
      </w:r>
    </w:p>
    <w:p>
      <w:pPr>
        <w:numPr>
          <w:ilvl w:val="0"/>
          <w:numId w:val="19"/>
        </w:numPr>
      </w:pPr>
      <w:r>
        <w:rPr/>
        <w:t xml:space="preserve">խանութում ներկայացվելիք տեղական արտադրության ապրանքատեսակները,</w:t>
      </w:r>
    </w:p>
    <w:p>
      <w:pPr>
        <w:numPr>
          <w:ilvl w:val="0"/>
          <w:numId w:val="19"/>
        </w:numPr>
      </w:pPr>
      <w:r>
        <w:rPr/>
        <w:t xml:space="preserve">ներդրումային ծրագրի իրատեսականություն և հեռանկարայնություն,</w:t>
      </w:r>
    </w:p>
    <w:p>
      <w:pPr>
        <w:numPr>
          <w:ilvl w:val="0"/>
          <w:numId w:val="19"/>
        </w:numPr>
      </w:pPr>
      <w:r>
        <w:rPr/>
        <w:t xml:space="preserve">ներդրումային ծրագրի ռիսկայնության աստիճան,</w:t>
      </w:r>
    </w:p>
    <w:p>
      <w:pPr>
        <w:numPr>
          <w:ilvl w:val="0"/>
          <w:numId w:val="19"/>
        </w:numPr>
      </w:pPr>
      <w:r>
        <w:rPr/>
        <w:t xml:space="preserve">նորարարություն և մրցակցային առավելություն,</w:t>
      </w:r>
    </w:p>
    <w:p>
      <w:pPr>
        <w:numPr>
          <w:ilvl w:val="0"/>
          <w:numId w:val="19"/>
        </w:numPr>
      </w:pPr>
      <w:r>
        <w:rPr/>
        <w:t xml:space="preserve">կորպորատիվ կառավարման կանոնագրքի սկզբունքների կիրառում (կորպորատիվ կառավարման տարեկան հայտարարագրի առկայություն),</w:t>
      </w:r>
    </w:p>
    <w:p>
      <w:pPr>
        <w:numPr>
          <w:ilvl w:val="0"/>
          <w:numId w:val="19"/>
        </w:numPr>
      </w:pPr>
      <w:r>
        <w:rPr/>
        <w:t xml:space="preserve">նախաորակավորման պահանջներին համապատասխանությունը։</w:t>
      </w:r>
    </w:p>
    <w:p>
      <w:pPr>
        <w:numPr>
          <w:ilvl w:val="0"/>
          <w:numId w:val="20"/>
        </w:numPr>
      </w:pPr>
      <w:r>
        <w:rPr/>
        <w:t xml:space="preserve">Դիմումի գնահատման արդյունքներն ամփոփվում են` հաշվի առնելով յուրաքանչյուր չափորոշչի հանձնաժողովի անդամների կողմից գնահատականների միջին թվաբանական արդյունքը:</w:t>
      </w:r>
    </w:p>
    <w:p>
      <w:pPr>
        <w:numPr>
          <w:ilvl w:val="0"/>
          <w:numId w:val="20"/>
        </w:numPr>
      </w:pPr>
      <w:r>
        <w:rPr/>
        <w:t xml:space="preserve">Ամփոփման արդյունքում 45 և ավելի միավոր ստացած ծրագրերի վերաբերյալ տրվում է դրական եզրակացություն, իսկ դրանից պակասի վերաբերյալ` բացասական եզրակացություն:</w:t>
      </w:r>
    </w:p>
    <w:p>
      <w:pPr>
        <w:numPr>
          <w:ilvl w:val="0"/>
          <w:numId w:val="20"/>
        </w:numPr>
      </w:pPr>
      <w:r>
        <w:rPr/>
        <w:t xml:space="preserve">Դրական եզրակացություն ստացած անձը համարվում է նախավորակավորում անցած։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N 1 Ձև</w:t>
      </w:r>
    </w:p>
    <w:p>
      <w:pPr/>
      <w:r>
        <w:rPr/>
        <w:t xml:space="preserve"> ՀՀ կառավարության 2022 թվականի                                                                                                        --------------------ի N ------ որոշման հավելվածի</w:t>
      </w:r>
    </w:p>
    <w:p>
      <w:pPr/>
      <w:r>
        <w:rPr/>
        <w:t xml:space="preserve"> </w:t>
      </w:r>
    </w:p>
    <w:p>
      <w:pPr/>
      <w:r>
        <w:rPr/>
        <w:t xml:space="preserve">ՀՀ ՊԵՏԱԿԱՆ ԵԿԱՄՈՒՏՆԵՐԻ ԿՈՄԻՏԵԻ ՆԱԽԱԳԱՀ</w:t>
      </w:r>
    </w:p>
    <w:p>
      <w:pPr/>
      <w:r>
        <w:rPr/>
        <w:t xml:space="preserve">ՊԱՐՈՆ ----------------------------- ԻՆ</w:t>
      </w:r>
    </w:p>
    <w:p>
      <w:pPr/>
      <w:r>
        <w:rPr/>
        <w:t xml:space="preserve">------------------------------------------------------</w:t>
      </w:r>
    </w:p>
    <w:p>
      <w:pPr/>
      <w:r>
        <w:rPr/>
        <w:t xml:space="preserve">ԴԻՄՈՒՄԸ ՆԵՐԿԱՅԱՑՆՈՂ ԱՆՁԻ</w:t>
      </w:r>
    </w:p>
    <w:p>
      <w:pPr/>
      <w:r>
        <w:rPr/>
        <w:t xml:space="preserve">-----------------------------------------------------</w:t>
      </w:r>
    </w:p>
    <w:p>
      <w:pPr/>
      <w:r>
        <w:rPr/>
        <w:t xml:space="preserve">ՏՎՅԱԼՆԵՐԸ</w:t>
      </w:r>
    </w:p>
    <w:p>
      <w:pPr/>
      <w:r>
        <w:rPr/>
        <w:t xml:space="preserve"> </w:t>
      </w:r>
    </w:p>
    <w:p>
      <w:pPr/>
      <w:r>
        <w:rPr/>
        <w:t xml:space="preserve">ԴԻՄՈՒՄ</w:t>
      </w:r>
    </w:p>
    <w:p>
      <w:pPr/>
      <w:r>
        <w:rPr/>
        <w:t xml:space="preserve"> </w:t>
      </w:r>
    </w:p>
    <w:p>
      <w:pPr/>
      <w:r>
        <w:rPr/>
        <w:t xml:space="preserve">Հարգելի պարոն --------------------------------</w:t>
      </w:r>
    </w:p>
    <w:p>
      <w:pPr/>
      <w:r>
        <w:rPr/>
        <w:t xml:space="preserve">Խնդրում եմ Անմաքս առևտրի խանութների ռեեստրում ընդգրկվելու նպատակով նախաորակավորում իրականացնող Հանձնաժողովի կողմից քննության առնել կից ներկայացված ներդրումային ծրագիրն ու փաստաթղթերը և  ------------------------------  -ին հատկացնել  Անմաքս առևտրի խանութների ռեեստրում ընդգրկվելու նպատակով նախաորակավորված սուբյեկտի կարգավիճակ:</w:t>
      </w:r>
    </w:p>
    <w:p>
      <w:pPr/>
      <w:r>
        <w:rPr/>
        <w:t xml:space="preserve">Դիմումին կից ներկայացվում են հետևյալ փաստաթղթերը.</w:t>
      </w:r>
    </w:p>
    <w:p>
      <w:pPr/>
      <w:r>
        <w:rPr/>
        <w:t xml:space="preserve"> </w:t>
      </w:r>
    </w:p>
    <w:p>
      <w:pPr/>
      <w:r>
        <w:rPr/>
        <w:t xml:space="preserve">Դիմող`  /                                                    /          պաշտոն, անուն ազգանուն</w:t>
      </w:r>
    </w:p>
    <w:p>
      <w:pPr/>
      <w:r>
        <w:rPr/>
        <w:t xml:space="preserve"> </w:t>
      </w:r>
    </w:p>
    <w:p>
      <w:pPr/>
      <w:r>
        <w:rPr/>
        <w:t xml:space="preserve">Ամիս ամսաթիվ, տարեթիվ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N 2 Ձև</w:t>
      </w:r>
    </w:p>
    <w:p>
      <w:pPr/>
      <w:r>
        <w:rPr/>
        <w:t xml:space="preserve"> ՀՀ կառավարության 2022 թվականի                                                                                                        --------------------ի N ------ որոշման հավելվածի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615" w:type="dxa"/>
        <w:gridCol w:w="4350" w:type="dxa"/>
        <w:gridCol w:w="1560" w:type="dxa"/>
        <w:gridCol w:w="1695" w:type="dxa"/>
        <w:gridCol w:w="2265" w:type="dxa"/>
      </w:tblGrid>
      <w:tblPr>
        <w:tblW w:w="10485" w:type="dxa"/>
        <w:tblLayout w:type="autofit"/>
      </w:tblPr>
      <w:tr>
        <w:trPr/>
        <w:tc>
          <w:tcPr>
            <w:tcW w:w="10485" w:type="dxa"/>
            <w:gridSpan w:val="5"/>
            <w:noWrap/>
          </w:tcPr>
          <w:p>
            <w:pPr/>
            <w:r>
              <w:rPr/>
              <w:t xml:space="preserve">Նախաորակավորման մասնակցի դիմումի գնահատման թերթիկ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գնահատման չափանիշը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Կշիռը %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Գնահատված միավորը 1-100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Վերջնական գնահատականը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խանութի դիզայնի կոնցեպտը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տվյալ ոլորտում գործունեության փորձի՝ այդ թվում այլ երկրներում գործելու հանգամանքը (հանդիսանում է արդյոք միջազգային ցանց, թե՝ ոչ),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խանութում ներկայացվելիք բրենդները և ապրանքատեսականին (հիմնավորված համապատասխան պայմանագրերով)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խանութում ներկայացվելիք տեղական արտադրության ապրանքատեսակները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ներդրումային ծրագրի իրատեսականություն և հեռանկարայնություն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ներդրումային ծրագրի ռիսկայնության աստիճան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նորարարություն և մրցակցային առավելություն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կորպորատիվ կառավարման կանոնագրքի սկզբունքների կիրառում (կորպորատիվ կառավարման տարեկան հայտարարագրի առկայություն)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նախաորակավորման պահանջներին համապատասխանությունը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4350" w:type="dxa"/>
            <w:noWrap/>
          </w:tcPr>
          <w:p>
            <w:pPr/>
            <w:r>
              <w:rPr/>
              <w:t xml:space="preserve">Ընդամենը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100 %</w:t>
            </w:r>
          </w:p>
        </w:tc>
        <w:tc>
          <w:tcPr>
            <w:tcW w:w="16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26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1F6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865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0CE2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9F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CF7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1B17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42E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35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1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9EB54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7EEFF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ED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FB645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152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30188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91272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57C92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F3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C6A729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2026-03-31T07:28:07+04:00</dcterms:created>
  <dcterms:modified xsi:type="dcterms:W3CDTF">2026-03-31T07:28:07+04:00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