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Անշարժ գույքի պետական միասնական կադաստր վարող մարմնի կողմից անշարժ գույքի հարկով հարկման օբյեկտ համարվող անշարժ գույքի ու դրանց գնահատումների (վերագնահատումների) վերաբերյալ ամփոփ տեղեկություններն, անշարժ գույքի սեփականատերերի, անշարժ գույքի հաշվառման ու գնահատման տվյալների փոփոխությունների, անշարժ գույքի լիզինգառուների, ինչպես նաև լիզինգի առարկա հանդիսացող անշարժ գույքի հաշվառման ու գնահատման տվյալների փոփոխությունների վերաբերյալ տեղեկությունները տեղական ինքնակառավարման մարմիններին ներկայացնելու կարգը սահմանելու և Հայաստանի Հանրապետության կառավարության 2017 թվականի ապրիլի 6-ի N 388-Ն որոշումն ուժը կորցրած ճանաչելու մասին</w:t>
      </w:r>
      <w:bookmarkEnd w:id="0"/>
    </w:p>
    <w:p>
      <w:pPr>
        <w:jc w:val="center"/>
      </w:pPr>
      <w:r>
        <w:rPr>
          <w:b w:val="1"/>
          <w:bCs w:val="1"/>
        </w:rPr>
        <w:t xml:space="preserve">     ՆԱԽԱԳԻԾ</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 » ———— 2023 թվականի  N  ____ -Ն</w:t>
      </w:r>
    </w:p>
    <w:p>
      <w:pPr>
        <w:jc w:val="center"/>
      </w:pPr>
      <w:r>
        <w:rPr/>
        <w:t xml:space="preserve"> </w:t>
      </w:r>
    </w:p>
    <w:p>
      <w:pPr>
        <w:jc w:val="center"/>
      </w:pPr>
      <w:r>
        <w:rPr>
          <w:b w:val="1"/>
          <w:bCs w:val="1"/>
        </w:rPr>
        <w:t xml:space="preserve">ԱՆՇԱՐԺ ԳՈՒՅՔԻ ՊԵՏԱԿԱՆ ՄԻԱՍՆԱԿԱՆ ԿԱԴԱՍՏՐ ՎԱՐՈՂ ՄԱՐՄՆԻ ԿՈՂՄԻՑ ԱՆՇԱՐԺ ԳՈՒՅՔԻ ՀԱՐԿՈՎ ՀԱՐԿՄԱՆ ՕԲՅԵԿՏ ՀԱՄԱՐՎՈՂ ԱՆՇԱՐԺ ԳՈՒՅՔԻ ՈՒ ԴՐԱՆՑ ԳՆԱՀԱՏՈՒՄՆԵՐԻ (ՎԵՐԱԳՆԱՀԱՏՈՒՄՆԵՐԻ) ՎԵՐԱԲԵՐՅԱԼ ԱՄՓՈՓ ՏԵՂԵԿՈՒԹՅՈՒՆՆԵՐԸ, ԱՆՇԱՐԺ ԳՈՒՅՔԻ ՍԵՓԱԿԱՆԱՏԵՐԵՐԻ, ԱՆՇԱՐԺ ԳՈՒՅՔԻ ՀԱՇՎԱՌՄԱՆ ՈՒ ԳՆԱՀԱՏՄԱՆ ՏՎՅԱԼՆԵՐԻ ՓՈՓՈԽՈՒԹՅՈՒՆՆԵՐԻ, ԱՆՇԱՐԺ ԳՈՒՅՔԻ ԼԻԶԻՆԳԱՌՈՒՆԵՐԻ, ԻՆՉՊԵՍ ՆԱԵՎ ԼԻԶԻՆԳԻ ԱՌԱՐԿԱ ՀԱՆԴԻՍԱՑՈՂ ԱՆՇԱՐԺ ԳՈՒՅՔԻ ՀԱՇՎԱՌՄԱՆ ՈՒ ԳՆԱՀԱՏՄԱՆ ՏՎՅԱԼՆԵՐԻ ՓՈՓՈԽՈՒԹՅՈՒՆՆԵՐԻ ՎԵՐԱԲԵՐՅԱԼ ՏԵՂԵԿՈՒԹՅՈՒՆՆԵՐԸ ՏԵՂԱԿԱՆ ԻՆՔՆԱԿԱՌԱՎԱՐՄԱՆ ՄԱՐՄԻՆՆԵՐԻՆ ՆԵՐԿԱՅԱՑՆԵԼՈՒ ԿԱՐԳԸ ՍԱՀՄԱՆԵԼՈՒ  ԵՎ ՀԱՅԱՍՏԱՆԻ ՀԱՆՐԱՊԵՏՈՒԹՅԱՆ ԿԱՌԱՎԱՐՈՒԹՅԱՆ 2017 ԹՎԱԿԱՆԻ ԱՊՐԻԼԻ 6-Ի N 388- Ն ՈՐՈՇՈՒՄՆ ՈՒԺԸ ԿՈՐՑՐԱԾ ՃԱՆԱՉԵԼՈՒ ՄԱՍԻՆ</w:t>
      </w:r>
    </w:p>
    <w:p>
      <w:pPr>
        <w:jc w:val="center"/>
      </w:pPr>
      <w:r>
        <w:rPr/>
        <w:t xml:space="preserve"> </w:t>
      </w:r>
    </w:p>
    <w:p>
      <w:pPr/>
      <w:r>
        <w:rPr/>
        <w:t xml:space="preserve">Հիմք ընդունելով Հայաստանի Հանրապետության հարկային օրենսգրքի 235-րդ հոդվածի 1-ին մասի 1-ին, 2-րդ և 5-րդ կետերը, «Նորմատիվ իրավական ակտերի մասին» օրենքի 36-րդ և 37-րդ հոդվածները՝ Հայաստանի Հանրապետության կառավարությունը որոշում է.</w:t>
      </w:r>
    </w:p>
    <w:p>
      <w:pPr>
        <w:numPr>
          <w:ilvl w:val="0"/>
          <w:numId w:val="2"/>
        </w:numPr>
      </w:pPr>
      <w:r>
        <w:rPr/>
        <w:t xml:space="preserve">Սահմանել անշարժ գույքի պետական միասնական կադաստր վարող մարմնի կողմից անշարժ գույքի հարկով հարկման օբյեկտ համարվող անշարժ գույքի ու դրանց գնահատումների (վերագնահատումների) վերաբերյալ ամփոփ տեղեկությունները, անշարժ գույքի սեփականատերերի, անշարժ գույքի հաշվառման ու գնահատման տվյալների փոփոխությունների, անշարժ գույքի լիզինգառուների, ինչպես նաև լիզինգի առարկա հանդիսացող անշարժ գույքի հաշվառման ու գնահատման տվյալների փոփոխությունների վերաբերյալ տեղեկությունները տեղական ինքնակառավարման մարմիններին ներկայացնելու կարգը՝ համաձայն հավելվածի:</w:t>
      </w:r>
    </w:p>
    <w:p>
      <w:pPr>
        <w:numPr>
          <w:ilvl w:val="0"/>
          <w:numId w:val="2"/>
        </w:numPr>
      </w:pPr>
      <w:r>
        <w:rPr/>
        <w:t xml:space="preserve">Հայաստանի Հանրապետության կառավարության 2017 թվականի ապրիլի 6-ի «Անշարժ գույքի կադաստր վարող մարմնի կողմից անշարժ գույքի հարկով հարկման օբյեկտ համարվող անշարժ գույքի ու դրանց գնահատումների (վերագնահատումների) վերաբերյալ տեղական ինքնակառավարման մարմիններին տեղեկություններ ներկայացնելու կարգը սահմանելու և Հայաստանի Հանրապետության կառավարության 2003 թվականի մայիսի 22-ի N 641-Ն և 2007 թվականի ապրիլի 19-ի N 465-Ն որոշումներն ուժը կորցրած ճանաչելու մասին» N 388-Ն որոշումը ուժը կորցրած ճանաչել:</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tbl>
      <w:tblGrid>
        <w:gridCol w:w="4500" w:type="dxa"/>
        <w:gridCol w:w="5000" w:type="dxa"/>
      </w:tblGrid>
      <w:tblPr>
        <w:tblW w:w="5000" w:type="pct"/>
        <w:tblLayout w:type="autofit"/>
      </w:tblPr>
      <w:tr>
        <w:trPr/>
        <w:tc>
          <w:tcPr>
            <w:tcW w:w="5000" w:type="pct"/>
            <w:noWrap/>
          </w:tcPr>
          <w:p>
            <w:pPr/>
            <w:r>
              <w:rPr>
                <w:b w:val="1"/>
                <w:bCs w:val="1"/>
              </w:rPr>
              <w:t xml:space="preserve">          </w:t>
            </w:r>
          </w:p>
        </w:tc>
      </w:tr>
      <w:tr>
        <w:trPr/>
        <w:tc>
          <w:tcPr>
            <w:tcW w:w="4500"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 Փաշինյան</w:t>
            </w:r>
          </w:p>
        </w:tc>
      </w:tr>
      <w:tr>
        <w:trPr/>
        <w:tc>
          <w:tcPr>
            <w:tcW w:w="4500" w:type="dxa"/>
            <w:noWrap/>
          </w:tcPr>
          <w:p>
            <w:pPr/>
            <w:r>
              <w:rPr>
                <w:b w:val="1"/>
                <w:bCs w:val="1"/>
              </w:rPr>
              <w:t xml:space="preserve"> </w:t>
            </w:r>
          </w:p>
          <w:p>
            <w:pPr/>
            <w:r>
              <w:rPr>
                <w:b w:val="1"/>
                <w:bCs w:val="1"/>
              </w:rPr>
              <w:t xml:space="preserve">Երևան</w:t>
            </w:r>
          </w:p>
          <w:p>
            <w:pPr/>
            <w:r>
              <w:rPr>
                <w:b w:val="1"/>
                <w:bCs w:val="1"/>
              </w:rPr>
              <w:t xml:space="preserve"> </w:t>
            </w:r>
          </w:p>
        </w:tc>
        <w:tc>
          <w:tcPr>
            <w:tcW w:w="5000" w:type="pct"/>
            <w:noWrap/>
          </w:tcPr>
          <w:p>
            <w:pPr/>
            <w:r>
              <w:rPr/>
              <w:t xml:space="preserve"> </w:t>
            </w:r>
          </w:p>
        </w:tc>
      </w:tr>
    </w:tbl>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w:t>
      </w:r>
      <w:br/>
      <w:r>
        <w:rPr>
          <w:b w:val="1"/>
          <w:bCs w:val="1"/>
        </w:rPr>
        <w:t xml:space="preserve"> ՀՀ կառավարության —— թվականի </w:t>
      </w:r>
    </w:p>
    <w:p>
      <w:pPr>
        <w:jc w:val="end"/>
      </w:pPr>
      <w:r>
        <w:rPr>
          <w:b w:val="1"/>
          <w:bCs w:val="1"/>
        </w:rPr>
        <w:t xml:space="preserve">_____ N ___-Ն որոշման</w:t>
      </w:r>
    </w:p>
    <w:p>
      <w:pPr/>
      <w:r>
        <w:rPr>
          <w:b w:val="1"/>
          <w:bCs w:val="1"/>
        </w:rPr>
        <w:t xml:space="preserve"> </w:t>
      </w:r>
    </w:p>
    <w:p>
      <w:pPr>
        <w:jc w:val="center"/>
      </w:pPr>
      <w:r>
        <w:rPr>
          <w:b w:val="1"/>
          <w:bCs w:val="1"/>
        </w:rPr>
        <w:t xml:space="preserve">Կ Ա Ր Գ</w:t>
      </w:r>
    </w:p>
    <w:p>
      <w:pPr/>
      <w:r>
        <w:rPr>
          <w:b w:val="1"/>
          <w:bCs w:val="1"/>
        </w:rPr>
        <w:t xml:space="preserve">    </w:t>
      </w:r>
    </w:p>
    <w:p>
      <w:pPr>
        <w:jc w:val="center"/>
      </w:pPr>
      <w:r>
        <w:rPr>
          <w:b w:val="1"/>
          <w:bCs w:val="1"/>
        </w:rPr>
        <w:t xml:space="preserve">ԱՆՇԱՐԺ ԳՈՒՅՔԻ ՊԵՏԱԿԱՆ ՄԻԱՍՆԱԿԱՆ ԿԱԴԱՍՏՐ ՎԱՐՈՂ ՄԱՐՄՆԻ ԿՈՂՄԻՑ ԱՆՇԱՐԺ ԳՈՒՅՔԻ ՀԱՐԿՈՎ ՀԱՐԿՄԱՆ ՕԲՅԵԿՏ ՀԱՄԱՐՎՈՂ ԱՆՇԱՐԺ ԳՈՒՅՔԻ ՈՒ ԴՐԱՆՑ ԳՆԱՀԱՏՈՒՄՆԵՐԻ (ՎԵՐԱԳՆԱՀԱՏՈՒՄՆԵՐԻ) ՎԵՐԱԲԵՐՅԱԼ ԱՄՓՈՓ ՏԵՂԵԿՈՒԹՅՈՒՆՆԵՐԸ, ԱՆՇԱՐԺ ԳՈՒՅՔԻ ՍԵՓԱԿԱՆԱՏԵՐԵՐԻ, ԱՆՇԱՐԺ ԳՈՒՅՔԻ ՀԱՇՎԱՌՄԱՆ ՈՒ ԳՆԱՀԱՏՄԱՆ ՏՎՅԱԼՆԵՐԻ ՓՈՓՈԽՈՒԹՅՈՒՆՆԵՐԻ, ԱՆՇԱՐԺ ԳՈՒՅՔԻ ԼԻԶԻՆԳԱՌՈՒՆԵՐԻ, ԻՆՉՊԵՍ ՆԱԵՎ ԼԻԶԻՆԳԻ ԱՌԱՐԿԱ ՀԱՆԴԻՍԱՑՈՂ ԱՆՇԱՐԺ ԳՈՒՅՔԻ ՀԱՇՎԱՌՄԱՆ ՈՒ ԳՆԱՀԱՏՄԱՆ ՏՎՅԱԼՆԵՐԻ ՓՈՓՈԽՈՒԹՅՈՒՆՆԵՐԻ ՎԵՐԱԲԵՐՅԱԼ ՏԵՂԵԿՈՒԹՅՈՒՆՆԵՐԸ ՏԵՂԱԿԱՆ ԻՆՔՆԱԿԱՌԱՎԱՐՄԱՆ ՄԱՐՄԻՆՆԵՐԻՆ ՆԵՐԿԱՅԱՑՆԵԼՈՒ</w:t>
      </w:r>
    </w:p>
    <w:p>
      <w:pPr/>
      <w:r>
        <w:rPr>
          <w:b w:val="1"/>
          <w:bCs w:val="1"/>
        </w:rPr>
        <w:t xml:space="preserve"> </w:t>
      </w:r>
    </w:p>
    <w:p>
      <w:pPr>
        <w:numPr>
          <w:ilvl w:val="0"/>
          <w:numId w:val="3"/>
        </w:numPr>
      </w:pPr>
      <w:r>
        <w:rPr>
          <w:b w:val="1"/>
          <w:bCs w:val="1"/>
        </w:rPr>
        <w:t xml:space="preserve"> ԸՆԴՀԱՆՈՒՐ ԴՐՈՒՅԹՆԵՐ</w:t>
      </w:r>
    </w:p>
    <w:p>
      <w:pPr/>
      <w:r>
        <w:rPr>
          <w:b w:val="1"/>
          <w:bCs w:val="1"/>
        </w:rPr>
        <w:t xml:space="preserve"> </w:t>
      </w:r>
    </w:p>
    <w:p>
      <w:pPr>
        <w:numPr>
          <w:ilvl w:val="0"/>
          <w:numId w:val="4"/>
        </w:numPr>
      </w:pPr>
      <w:r>
        <w:rPr/>
        <w:t xml:space="preserve">Սույն կարգով կարգավորվում են կազմակերպությունների և ֆիզիկական անձանց (այսուհետ՝ անշարժ գույքի հարկ վճարողներ) անշարժ գույքի հարկով հարկման օբյեկտ համարվող անշարժ գույքի ու դրանց գնահատումների (վերագնահատումների) վերաբերյալ ամփոփ տեղեկությունները, անշարժ գույքի սեփականատերերի, անշարժ գույքի հաշվառման ու գնահատման տվյալների փոփոխությունների, անշարժ գույքի լիզինգառուների, ինչպես նաև լիզինգի առարկա հանդիսացող անշարժ գույքի հաշվառման ու գնահատման տվյալների փոփոխությունների վերաբերյալ տեղեկությունները անշարժ գույքի պետական միասնական կադաստր վարող մարմնի կողմից տեղական ինքնակառավարման մարմիններին ներկայացնելու հետ կապված հարաբերությունները: Երևան քաղաքի վարչական սահմաններում գտնվող անշարժ գույքի ու դրանց գնահատումների (վերագնահատումների) վերաբերյալ տեղեկություններն անշարժ գույքի պետական միասնական կադաստր վարող մարմնի կողմից ներկայացվում են Երևանի համայնքին` խմբավորված՝ ըստ անշարժ գույքի գտնվելու վայրի համապատասխան վարչական շրջանների:</w:t>
      </w:r>
    </w:p>
    <w:p>
      <w:pPr>
        <w:numPr>
          <w:ilvl w:val="0"/>
          <w:numId w:val="4"/>
        </w:numPr>
      </w:pPr>
      <w:r>
        <w:rPr/>
        <w:t xml:space="preserve">Սույն կարգում օգտագործվում են Հայաստանի Հանրապետության հարկային օրենսգրքով սահմանված հիմնական հասկացությունները:</w:t>
      </w:r>
    </w:p>
    <w:p>
      <w:pPr>
        <w:numPr>
          <w:ilvl w:val="0"/>
          <w:numId w:val="4"/>
        </w:numPr>
      </w:pPr>
      <w:r>
        <w:rPr/>
        <w:t xml:space="preserve">Անշարժ գույքի պետական միասնական կադաստր վարող մարմինը տեղական ինքնակառավարման մարմիններին է ներկայացնում՝</w:t>
      </w:r>
    </w:p>
    <w:p>
      <w:pPr/>
      <w:r>
        <w:rPr/>
        <w:t xml:space="preserve">1) գնահատման կամ վերագնահատման հարկային տարվա հուլիսի 1-ի դրությամբ հաշվառված ու գնահատված (վերագնահատված)՝ անշարժ գույքի հարկով հարկման օբյեկտ համարվող անշարժ գույքի ու դրանց գնահատումների (վերագնահատումների) վերաբերյալ ամփոփ տեղեկությունները մինչև գնահատման (վերագնահատման) հարկային տարվա սեպտեմբերի 1-ը ներառյալ՝ համաձայն N 1 ձևի և դրա լրացման համար նախատեսված կարգի.</w:t>
      </w:r>
    </w:p>
    <w:p>
      <w:pPr/>
      <w:r>
        <w:rPr/>
        <w:t xml:space="preserve">2) մինչև յուրաքանչյուր ամսվա 15-ը ներառյալ՝ նախորդ ամսվա ընթացքում անշարժ գույքի սեփականատերերի և լիզինգառուների փոփոխությունների վերաբերյալ տեղեկությունները՝ համաձայն N 2 ձևի և դրա լրացման համար նախատեսված կարգի.</w:t>
      </w:r>
    </w:p>
    <w:p>
      <w:pPr/>
      <w:r>
        <w:rPr/>
        <w:t xml:space="preserve">3) մինչև յուրաքանչյուր ամսվա 15-ը ներառյալ` նախորդ ամսվա ընթացքում անշարժ գույքի և լիզինգի առարկա հանդիսացող անշարժ գույքի հաշվառման ու գնահատման տվյալների փոփոխությունների վերաբերյալ տեղեկությունները` համաձայն N 3 ձևի և դրա լրացման համար նախատեսված կարգի.</w:t>
      </w:r>
    </w:p>
    <w:p>
      <w:pPr/>
      <w:r>
        <w:rPr/>
        <w:t xml:space="preserve">4) Հայաստանի Հանրապետության հարկային օրենսգրքի 235-րդ հոդվածի 1-ին մասի 1-ին և 2-րդ կետերին համապատասխան՝ վարձակալության, կառուցապատման, ինչպես նաև անհատույց (մշտական) օգտագործման իրավունքով տրամադրված անշարժ գույքի պետական միասնական կադաստր վարող մարմնի կողմից գրանցված համայնքային սեփականություն հանդիսացող անշարժ գույքի վերաբերյալ տեղեկությունները՝ համաձայն սույն հավելվածով դրա ներկայացման համար նախատեսված կարգի:</w:t>
      </w:r>
    </w:p>
    <w:p>
      <w:pPr>
        <w:numPr>
          <w:ilvl w:val="0"/>
          <w:numId w:val="5"/>
        </w:numPr>
      </w:pPr>
      <w:r>
        <w:rPr/>
        <w:t xml:space="preserve">Սույն կարգի 3-րդ կետի 1-ին, 2-րդ, 3-րդ և 4-րդ ենթակետերում նշված տեղեկություններն անշարժ գույքի պետական միասնական կադաստր վարող մարմինը ներկայացնում է էլեկտրոնային տեսքով՝ տեղեկությունները տեղադրելով իր պաշտոնական ինտերնետային կայքում, և յուրաքանչյուր համայնք իր վարչական սահմաններում գտնվող անշարժ գույքի մասին տեղեկություններից օգտվում է նախօրոք տրամադրված մուտքի անվան ու գաղտնաբառի միջոցով:</w:t>
      </w:r>
    </w:p>
    <w:p>
      <w:pPr>
        <w:numPr>
          <w:ilvl w:val="0"/>
          <w:numId w:val="5"/>
        </w:numPr>
      </w:pPr>
      <w:r>
        <w:rPr/>
        <w:t xml:space="preserve">Սույն կարգի 3-րդ կետի 1-ին, 2-րդ, 3-րդ և 4-րդ ենթակետերով սահմանված տեղեկությունները Համայնքային էլեկտրոնային կառավարման միասնական հարթակի (ՀԷԿՄՀ) օպերատորին են տրամադրվում նաև ինքնաշխատ եղանակով՝ կառավարության փոխգործելիության հարթակի միջոցով, ընդ որում՝ 2-րդ, 3-րդ և 4-րդ ենթակետերով սահմանված տեղեկությունները ինքնաշխատ եղանակով տրամադրվում են յուրաքանչյուր գործարքից հետո անմիջապես:</w:t>
      </w:r>
    </w:p>
    <w:p>
      <w:pPr/>
      <w:r>
        <w:rPr/>
        <w:t xml:space="preserve">6․ www.e-community.am տիրույթում գտնվող համայնքային էլեկտրոնային կառավարման միասնական հարթակի (ՀԷԿՄՀ) օպերատոր է հանդիսանում «Էլեկտրոնային կառավարման ենթակառուցվածքների ներդրման գրասենյակ» փակ բաժնետիրական ընկերությունը («ԷԿԵՆԳ» ՓԲԸ)։</w:t>
      </w:r>
    </w:p>
    <w:p>
      <w:pPr/>
      <w:r>
        <w:rPr/>
        <w:t xml:space="preserve">    </w:t>
      </w:r>
    </w:p>
    <w:p>
      <w:pPr>
        <w:numPr>
          <w:ilvl w:val="0"/>
          <w:numId w:val="6"/>
        </w:numPr>
      </w:pPr>
      <w:r>
        <w:rPr>
          <w:b w:val="1"/>
          <w:bCs w:val="1"/>
        </w:rPr>
        <w:t xml:space="preserve"> ԱՆՇԱՐԺ ԳՈՒՅՔԻ ՀԱՐԿՈՎ ՀԱՐԿՄԱՆ ՕԲՅԵԿՏ ՀԱՄԱՐՎՈՂ ԱՆՇԱՐԺ ԳՈՒՅՔԻ ՈՒ ԴՐԱՆՑ ԳՆԱՀԱՏՈՒՄՆԵՐԻ (ՎԵՐԱԳՆԱՀԱՏՈՒՄՆԵՐԻ) ՎԵՐԱԲԵՐՅԱԼ ԱՄՓՈՓ ՏԵՂԵԿՈՒԹՅՈՒՆՆԵՐԻ` N 1 ՁԵՎԻ ԼՐԱՑՄԱՆ ԿԱՐԳԸ</w:t>
      </w:r>
    </w:p>
    <w:p>
      <w:pPr/>
      <w:r>
        <w:rPr/>
        <w:t xml:space="preserve">   </w:t>
      </w:r>
    </w:p>
    <w:p>
      <w:pPr>
        <w:numPr>
          <w:ilvl w:val="0"/>
          <w:numId w:val="7"/>
        </w:numPr>
      </w:pPr>
      <w:r>
        <w:rPr/>
        <w:t xml:space="preserve">Ձևաթղթի վանդակները լրացվում են նշագրումներին համապատասխան: Երևան քաղաքի վարչական սահմաններում գտնվող անշարժ գույքի համար ամփոփ տեղեկությունների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pPr>
        <w:numPr>
          <w:ilvl w:val="0"/>
          <w:numId w:val="7"/>
        </w:numPr>
      </w:pPr>
      <w:r>
        <w:rPr/>
        <w:t xml:space="preserve">Անշարժ գույքի ընդհանուր համատեղ կամ ընդհանուր բաժնային սեփականության դեպքում բոլոր համասեփականատերերի, իսկ լիզինգի առարկա հանդիսացող անշարժ գույքի լիզինգառուների տվյալները լրացվում է հաջորդաբար՝ առանձին նոր տողերով:</w:t>
      </w:r>
    </w:p>
    <w:p>
      <w:pPr>
        <w:numPr>
          <w:ilvl w:val="0"/>
          <w:numId w:val="7"/>
        </w:numPr>
      </w:pPr>
      <w:r>
        <w:rPr/>
        <w:t xml:space="preserve">Ամփոփ տեղեկությունների 1-ին սյունակում, ըստ տողերի, հաջորդաբար լրացվում է գույքային միավոր հանդիսացող յուրաքանչյուր անշարժ գույքի հերթական համարը: Համասեփականատերերի և լիզինգառուների համար նույն գույքային միավոր հանդիսացող անշարժ գույքի հերթական համարը չի փոփոխվում:</w:t>
      </w:r>
    </w:p>
    <w:p>
      <w:pPr>
        <w:numPr>
          <w:ilvl w:val="0"/>
          <w:numId w:val="7"/>
        </w:numPr>
      </w:pPr>
      <w:r>
        <w:rPr/>
        <w:t xml:space="preserve">Ամփոփ տեղեկությունների 2-րդ սյունակում, ըստ տողերի, հաջորդաբար լրացվում է «Հայաստանի անշարժ գույքի տեղեկատվական համակարգ» էլեկտրոնային ծրագրում գույքային միավոր հանդիսացող յուրաքանչյուր անշարժ գույքի արխիվային ծածկագիրը, իսկ 3-րդ սյունակում՝ գույքային միավոր հանդիսացող յուրաքանչյուր անշարժ գույքը նույնականացնող միավորի բանալին:</w:t>
      </w:r>
    </w:p>
    <w:p>
      <w:pPr>
        <w:numPr>
          <w:ilvl w:val="0"/>
          <w:numId w:val="7"/>
        </w:numPr>
      </w:pPr>
      <w:r>
        <w:rPr/>
        <w:t xml:space="preserve">Ամփոփ տեղեկությունների 4-րդ, 5-րդ, 6-րդ, 7-րդ և 8-րդ սյունակներում, ըստ տողերի, հաջորդաբար լրացվում են յուրաքանչյուր գույքային միավոր հանդիսացող անշարժ գույքի սեփականատիրոջ (համասեփականատերերի) կամ պետական սեփականություն հանդիսացող հողի մշտական օգտագործողի կամ լիզինգառուի (լիզինգառուների) հաշվառման (գրանցման) կամ կազմակերպության գտնվելու վայրի հասցեի տեքստային տվյալները, ինչպես նաև տվյալ հասցեի նույնականացման բաղադրիչը: Մարզի և համայնքի (վարչական շրջանի) սյունակներում լրացվում են համապատասխան ծածկագրերը կամ տեքստային տվյալները:</w:t>
      </w:r>
    </w:p>
    <w:p>
      <w:pPr>
        <w:numPr>
          <w:ilvl w:val="0"/>
          <w:numId w:val="7"/>
        </w:numPr>
      </w:pPr>
      <w:r>
        <w:rPr/>
        <w:t xml:space="preserve">Ամփոփ տեղեկությունների 9-րդ, 10-րդ, 11-րդ, 12-րդ և 13-րդ սյունակներում, ըստ տողերի, հաջորդաբար լրացվում են յուրաքանչյուր գույքային միավոր հանդիսացող անշարժ գույքի սեփականատիրոջ (համասեփականատերերի) կամ պետական սեփականություն հանդիսացող հողի մշտական օգտագործողի կամ լիզինգառուի (լիզինգառուների)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անձը հաստատող փաստաթղթի տվյալները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ամփոփ տեղեկությունների 10-13-րդ սյունակները չեն լրացվում:</w:t>
      </w:r>
    </w:p>
    <w:p>
      <w:pPr>
        <w:numPr>
          <w:ilvl w:val="0"/>
          <w:numId w:val="7"/>
        </w:numPr>
      </w:pPr>
      <w:r>
        <w:rPr/>
        <w:t xml:space="preserve">Ամփոփ տեղեկությունների 14-րդ, 15-րդ և 16-րդ սյունակներում, ըստ տողերի, հաջորդաբար լրացվում են յուրաքանչյուր գույքային միավոր հանդիսացող անշարժ գույքի գտնվելու վայրի հասցեի տեքստային տվյալները, ինչպես նաև տվյալ հասցեի նույնականացման բաղադրիչը: Համասեփականատերերի կամ լիզինգառուների համար միևնույն անշարժ գույքի գտնվելու վայրի հասցեն առաջին համասեփականատիրոջ կամ լիզինգառուի տվյալներին հաջորդիվ նոր տողերում չի լրացվում:</w:t>
      </w:r>
    </w:p>
    <w:p>
      <w:pPr>
        <w:numPr>
          <w:ilvl w:val="0"/>
          <w:numId w:val="7"/>
        </w:numPr>
      </w:pPr>
      <w:r>
        <w:rPr/>
        <w:t xml:space="preserve">Ամփոփ տեղեկությունների 17-րդ սյունակում, ըստ տողերի, հաջորդաբար լրացվում է յուրաքանչյուր գույքային միավոր հանդիսացող անշարժ գույքի՝ հողամասի կադաստրային ծածկագիրը: Համասեփականատերերի կամ լիզինգառուների համար հողամասի կադաստրային ծածկագիրն առաջին համասեփականատիրոջ կամ լիզինգառուի տվյալներին հաջորդիվ նոր տողերում չի լրացվում:</w:t>
      </w:r>
    </w:p>
    <w:p>
      <w:pPr>
        <w:numPr>
          <w:ilvl w:val="0"/>
          <w:numId w:val="7"/>
        </w:numPr>
      </w:pPr>
      <w:r>
        <w:rPr/>
        <w:t xml:space="preserve">Ամփոփ տեղեկությունների 18-րդ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օրենսգրքով սահմանված հողային ֆոնդին համապատասխան նպատակային նշանակությունը՝</w:t>
      </w:r>
    </w:p>
    <w:p>
      <w:pPr/>
      <w:r>
        <w:rPr/>
        <w:t xml:space="preserve">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pPr/>
      <w:r>
        <w:rPr/>
        <w:t xml:space="preserve">2) համասեփականատերերի կամ լիզինգառուների համար միևնույն հողամասի նպատակային նշանակությունն առաջին համասեփականատիրոջ կամ լիզինգառուի տվյալներին հաջորդիվ նոր տողերում չի լրացվում:</w:t>
      </w:r>
    </w:p>
    <w:p>
      <w:pPr>
        <w:numPr>
          <w:ilvl w:val="0"/>
          <w:numId w:val="8"/>
        </w:numPr>
      </w:pPr>
      <w:r>
        <w:rPr/>
        <w:t xml:space="preserve">Ամփոփ տեղեկությունների 19-րդ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օրենսգրքին համապատասխան գործառնական նշանակությունը կամ հողատեսքը՝</w:t>
      </w:r>
    </w:p>
    <w:p>
      <w:pPr/>
      <w:r>
        <w:rPr/>
        <w:t xml:space="preserve">1) գյուղատնտեսական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pPr/>
      <w:r>
        <w:rPr/>
        <w:t xml:space="preserve">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pPr/>
      <w:r>
        <w:rPr/>
        <w:t xml:space="preserve">3) արդյունաբերության,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pPr/>
      <w:r>
        <w:rPr/>
        <w:t xml:space="preserve">4) էներգետիկայի,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pPr/>
      <w:r>
        <w:rPr/>
        <w:t xml:space="preserve">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pPr/>
      <w:r>
        <w:rPr/>
        <w:t xml:space="preserve">6) համասեփականատերերի կամ լիզինգառուների համար միևնույն հողամասի գործառնական նշանակությունը կամ հողատեսքն առաջին համասեփականատիրոջ կամ լիզինգառուի տվյալներին հաջորդիվ նոր տողերում չի լրացվում:</w:t>
      </w:r>
    </w:p>
    <w:p>
      <w:pPr>
        <w:numPr>
          <w:ilvl w:val="0"/>
          <w:numId w:val="9"/>
        </w:numPr>
      </w:pPr>
      <w:r>
        <w:rPr/>
        <w:t xml:space="preserve">Ամփոփ տեղեկությունների 20-րդ սյունակում, ըստ տողերի, հաջորդաբար լրացվում է յուրաքանչյուր գույքային միավոր հանդիսացող անշարժ գույքի՝ հողամասի համապատասխան հողակադաստրային գնահատման շրջանը: Համասեփականատերերի կամ լիզինգառուների համար միևնույն հողամասի համապատասխան հողակադաստրային գնահատման շրջանը առաջին համասեփականատիրոջ կամ լիզինգառուի տվյալներին հաջորդիվ նոր տողերում չի լրացվում:</w:t>
      </w:r>
    </w:p>
    <w:p>
      <w:pPr>
        <w:numPr>
          <w:ilvl w:val="0"/>
          <w:numId w:val="9"/>
        </w:numPr>
      </w:pPr>
      <w:r>
        <w:rPr/>
        <w:t xml:space="preserve">Ամփոփ տեղեկությունների 21-րդ սյունակում, ըստ տողերի, հաջորդաբար լրացվում է յուրաքանչյուր գույքային միավոր հանդիսացող անշարժ գույքի՝ գյուղատնտեսական նշանակության հողամասի համապատասխան հողատեսքի գնահատման խումբը: Համասեփականատերերի կամ լիզինգառուների համար միևնույն գյուղատնտեսական նշանակության հողամասի համապատասխան հողատեսքի գնահատման խումբն առաջին համասեփականատիրոջ կամ լիզինգառուի տվյալներին հաջորդիվ նոր տողերում չի լրացվում:</w:t>
      </w:r>
    </w:p>
    <w:p>
      <w:pPr>
        <w:numPr>
          <w:ilvl w:val="0"/>
          <w:numId w:val="9"/>
        </w:numPr>
      </w:pPr>
      <w:r>
        <w:rPr/>
        <w:t xml:space="preserve">Ամփոփ տեղեկությունների 22-րդ սյունակում, ըստ տողերի, հաջորդաբար լրացվում է յուրաքանչյուր գույքային միավոր հանդիսացող անշարժ գույքի՝ ոչ գյուղատնտեսական նշանակության հողամասի տարածագնահատման (գտնվելու վայրի) գոտին: Համասեփականատերերի կամ լիզինգառուների համար միևնույն ոչ գյուղատնտեսական նշանակության հողամասի տարածագնահատման (գտնվելու վայրի) գոտին առաջին համասեփականատիրոջ կամ լիզինգառուի տվյալներին հաջորդիվ նոր տողերում չի լրացվում:</w:t>
      </w:r>
    </w:p>
    <w:p>
      <w:pPr>
        <w:numPr>
          <w:ilvl w:val="0"/>
          <w:numId w:val="9"/>
        </w:numPr>
      </w:pPr>
      <w:r>
        <w:rPr/>
        <w:t xml:space="preserve">Ամփոփ տեղեկությունների 23-րդ սյունակում, ըստ տողերի, հաջորդաբար լրացվում է յուրաքանչյուր գույքային միավոր հանդիսացող անշարժ գույքի՝ գնահատվող հողամասի չափը՝ հեկտարներով: Համասեփականատերերի կամ լիզինգառուների համար միևնույն գնահատվող հողամասի չափն առաջին համասեփականատիրոջ կամ լիզինգառուի տվյալներին հաջորդիվ նոր տողերում չի լրացվում:</w:t>
      </w:r>
    </w:p>
    <w:p>
      <w:pPr>
        <w:numPr>
          <w:ilvl w:val="0"/>
          <w:numId w:val="9"/>
        </w:numPr>
      </w:pPr>
      <w:r>
        <w:rPr/>
        <w:t xml:space="preserve">Ամփոփ տեղեկությունների 24-րդ սյունակում, ըստ տողերի, հաջորդաբար լրացվում է յուրաքանչյուր գույքային միավոր հանդիսացող անշարժ գույքի՝ գնահատվող հողամասի կարգավիճակին համապատասխանող նշումը՝ չկառուցապատված հողամասի դեպքում՝ 0, կառուցապատված հողամասի դեպքում՝ 1: Համասեփականատերերի կամ լիզինգառուների համար միևնույն գնահատվող հողամասի կարգավիճակին համապատասխանող նշումը առաջին համասեփականատիրոջ կամ լիզինգառուի տվյալներին հաջորդիվ նոր տողերում չի լրացվում:</w:t>
      </w:r>
    </w:p>
    <w:p>
      <w:pPr>
        <w:numPr>
          <w:ilvl w:val="0"/>
          <w:numId w:val="9"/>
        </w:numPr>
      </w:pPr>
      <w:r>
        <w:rPr/>
        <w:t xml:space="preserve">Ամփոփ տեղեկությունների 25-րդ սյունակում, ըստ տողերի, հաջորդաբար լրացվում է յուրաքանչյուր գույքային միավոր հանդիսացող անշարժ գույքի՝ հողամասի բարելավումների (շինությունների) կադաստրային ծածկագիրը: Համասեփականատերերի կամ լիզինգառուների համար հողամասի բարելավումների (շինությունների) կադաստրային ծածկագիրն առաջին համասեփականատիրոջ կամ լիզինգառուի տվյալներին հաջորդիվ նոր տողերում չի լրացվում:</w:t>
      </w:r>
    </w:p>
    <w:p>
      <w:pPr>
        <w:numPr>
          <w:ilvl w:val="0"/>
          <w:numId w:val="9"/>
        </w:numPr>
      </w:pPr>
      <w:r>
        <w:rPr/>
        <w:t xml:space="preserve">Ամփոփ տեղեկությունների 26-րդ սյունակում, ըստ տողերի, հաջորդաբար լրացվում է յուրաքանչյուր գույքային միավոր հանդիսացող անշարժ գույքի՝ հողամասի բարելավումների (շինությունների) օրենքին համապատասխան անվանումը՝ ըստ նպատակային նշանակության՝</w:t>
      </w:r>
    </w:p>
    <w:p>
      <w:pPr/>
      <w:r>
        <w:rPr/>
        <w:t xml:space="preserve">1) նպատակային նշանակության տվյալների առումով բնակելի նշանակության դեպքում լրացվում է` 1 (ընդ որում, անհատական բնակելի տան համար՝ 1/1, բազմաբնակարան բնակելի շենքի բնակարանի համար՝ 1/2, այգետնակի (ամառանոցի) համար՝ 1/3, բազմաբնակարան բնակելի շենքի համար՝ 1/4, բազմաբնակարան շենքի ոչ բնակելի տարածքի համար՝ 1/5, ավտոտնակի համար՝ 1/6), հասարակական նշանակության դեպքում՝ 2, արտադրական նշանակության դեպքում` 3.</w:t>
      </w:r>
    </w:p>
    <w:p>
      <w:pPr/>
      <w:r>
        <w:rPr/>
        <w:t xml:space="preserve">2) համասեփականատերերի կամ լիզինգառուների համար հողամասի միևնույն բարելավումների (շինությունների) տվյալներն առաջին համասեփականատիրոջ կամ լիզինգառուի տվյալներին հաջորդիվ նոր տողերում չեն լրացվում:</w:t>
      </w:r>
    </w:p>
    <w:p>
      <w:pPr>
        <w:numPr>
          <w:ilvl w:val="0"/>
          <w:numId w:val="10"/>
        </w:numPr>
      </w:pPr>
      <w:r>
        <w:rPr/>
        <w:t xml:space="preserve">Ամփոփ տեղեկությունների 27-րդ սյունակում, ըստ տողերի, հաջորդաբար լրացվում են յուրաքանչյուր գույքային միավոր հանդիսացող անշարժ գույքի՝ հողամասի բարելավումների (շինությունների) համապատասխան գործառնական նշանակության տեքստային տվյալները: Համասեփականատերերի կամ լիզինգառուների համար հողամասի միևնույն բարելավումների (շինությունների) գործառնական նշանակության տվյալներն առաջին համասեփականատիրոջ կամ լիզինգառուի տվյալներին հաջորդիվ նոր տողերում չեն լրացվում:</w:t>
      </w:r>
    </w:p>
    <w:p>
      <w:pPr>
        <w:numPr>
          <w:ilvl w:val="0"/>
          <w:numId w:val="10"/>
        </w:numPr>
      </w:pPr>
      <w:r>
        <w:rPr/>
        <w:t xml:space="preserve">Ամփոփ տեղեկությունների 28-րդ սյունակում, ըստ տողերի, հաջորդաբար լրացվում է յուրաքանչյուր գույքային միավոր հանդիսացող անշարժ գույքի՝ հողամասի անավարտ (կիսակառույց) բարելավումների (շինությունների) ավարտվածության աստիճանին համապատասխանող նշումը` «անավարտ»-ի դեպքում՝ 0, «մինչև 50%»-ի դեպքում` 1, «50-80%»-ի դեպքում` 2, «80% և ավելի»-ի դեպքում` 3: Համասեփականատերերի կամ լիզինգառուների համար հողամասի միևնույն բարելավումների (շինությունների) ավարտվածության աստիճանի տվյալներն առաջին համասեփականատիրոջ կամ լիզինգառուի տվյալներին հաջորդիվ նոր տողերում չեն լրացվում:</w:t>
      </w:r>
    </w:p>
    <w:p>
      <w:pPr>
        <w:numPr>
          <w:ilvl w:val="0"/>
          <w:numId w:val="10"/>
        </w:numPr>
      </w:pPr>
      <w:r>
        <w:rPr/>
        <w:t xml:space="preserve">Ամփոփ տեղեկությունների 29-րդ սյունակում, ըստ տողերի, հաջորդաբար լրացվում է յուրաքանչյուր գույքային միավոր հանդիսացող անշարժ գույքի՝ հողամասի բարելավումների (շինությունների) տարածագնահատման (գտնվելու վայրի) գոտին: Համասեփականատերերի կամ լիզինգառուների համար հողամասի միևնույն բարելավումների (շինությունների) տարածագնահատման (գտնվելու վայրի) գոտին առաջին համասեփականատիրոջ կամ լիզինգառուի տվյալներին հաջորդիվ նոր տողերում չի լրացվում:</w:t>
      </w:r>
    </w:p>
    <w:p>
      <w:pPr>
        <w:numPr>
          <w:ilvl w:val="0"/>
          <w:numId w:val="10"/>
        </w:numPr>
      </w:pPr>
      <w:r>
        <w:rPr/>
        <w:t xml:space="preserve">Ամփոփ տեղեկությունների 30-րդ սյունակում, ըստ տողերի, հաջորդաբար լրացվում են հողամասի բարելավումների (շինությունների)՝ յուրաքանչյուր գույքային միավոր հանդիսացող անշարժ գույքի, այդ թվում՝ անշարժ գույքի պետական միասնական կադաստր վարող մարմնի կողմից հաշվառված ինքնակամ կառուցված շինությունների ընդհանուր ներքին մակերեսները՝ արտահայտված քառակուսի մետրերով: Համասեփականատերերի կամ լիզինգառուների համար հողամասի միևնույն բարելավումների (շինությունների) ընդհանուր ներքին մակերեսները առաջին համասեփականատիրոջ կամ լիզինգառուի տվյալներին հաջորդիվ նոր տողերում չեն լրացվում:</w:t>
      </w:r>
    </w:p>
    <w:p>
      <w:pPr>
        <w:numPr>
          <w:ilvl w:val="0"/>
          <w:numId w:val="10"/>
        </w:numPr>
      </w:pPr>
      <w:r>
        <w:rPr/>
        <w:t xml:space="preserve">Ամփոփ տեղեկությունների 31-րդ սյունակում, ըստ տողերի, հաջորդաբար յուրաքանչյուր գույքային միավոր հանդիսացող անշարժ գույքի՝ գյուղատնտեսական նշանակության հողամասի համար լրացվում է կադաստրային գնահատման կարգով հաշվարկված հաշվարկային զուտ եկամուտը՝ արտահայտված ՀՀ դրամով (1 հեկտարի համար): Համասեփականատերերի կամ լիզինգառուների համար միևնույն գյուղատնտեսական նշանակության հողամասի կադաստրային գնահատման կարգով հաշվարկված հաշվարկային զուտ եկամուտն առաջին համասեփականատիրոջ կամ լիզինգառուի տվյալներին հաջորդաբար նոր տողերում չի լրացվում:</w:t>
      </w:r>
    </w:p>
    <w:p>
      <w:pPr>
        <w:numPr>
          <w:ilvl w:val="0"/>
          <w:numId w:val="10"/>
        </w:numPr>
      </w:pPr>
      <w:r>
        <w:rPr/>
        <w:t xml:space="preserve">Ամփոփ տեղեկությունների 32-րդ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կադաստրային արժեքը առաջին համասեփականատիրոջ կամ լիզինգառուի տվյալներին հաջորդաբար նոր տողերում չի լրացվում:</w:t>
      </w:r>
    </w:p>
    <w:p>
      <w:pPr>
        <w:numPr>
          <w:ilvl w:val="0"/>
          <w:numId w:val="10"/>
        </w:numPr>
      </w:pPr>
      <w:r>
        <w:rPr/>
        <w:t xml:space="preserve">Ամփոփ տեղեկությունների 33-րդ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կադաստրային արժեքը առաջին համասեփականատիրոջ կամ լիզինգառուի տվյալներին հաջորդաբար նոր տողերում չի լրացվում:</w:t>
      </w:r>
    </w:p>
    <w:p>
      <w:pPr>
        <w:numPr>
          <w:ilvl w:val="0"/>
          <w:numId w:val="10"/>
        </w:numPr>
      </w:pPr>
      <w:r>
        <w:rPr/>
        <w:t xml:space="preserve">Ամփոփ տեղեկությունների 34-րդ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բարելավումների (շինությունների)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բարելավումների (շինությունների) կադաստրային արժեքը առաջին համասեփականատիրոջ կամ լիզինգառուի տվյալներին հաջորդաբար նոր տողերում չի լրացվում:</w:t>
      </w:r>
    </w:p>
    <w:p>
      <w:pPr>
        <w:numPr>
          <w:ilvl w:val="0"/>
          <w:numId w:val="10"/>
        </w:numPr>
      </w:pPr>
      <w:r>
        <w:rPr/>
        <w:t xml:space="preserve">Ամփոփ տեղեկությունների 35-րդ սյունակում, ըստ տողերի, հաջորդաբար յուրաքանչյուր գույքային միավոր հանդիսացող անշարժ գույքի համար լրացվում է անշարժ գույքի նկատմամբ իրավունքների պետական գրանցման ամսաթիվը՝ օրը, ամիսը, տարեթիվը (օրինակ՝ 2005 թվականի հուլիսի 15-ի գրանցումը նշվում է` 15.07.2005): Համասեփականատերերի կամ լիզինգառուների համար միևնույն անշարժ գույքի նկատմամբ իրավունքների պետական գրանցման ամսաթիվն առաջին համասեփականատիրոջ կամ լիզինգառուի տվյալներին հաջորդաբար նոր տողերում չի լրացվում:</w:t>
      </w:r>
    </w:p>
    <w:p>
      <w:pPr>
        <w:numPr>
          <w:ilvl w:val="0"/>
          <w:numId w:val="10"/>
        </w:numPr>
      </w:pPr>
      <w:r>
        <w:rPr/>
        <w:t xml:space="preserve">Ամփոփ տեղեկությունների 36-րդ սյունակում, ըստ տողերի, հաջորդաբար յուրաքանչյուր գույքային միավոր հանդիսացող անշարժ գույքի սեփականատիրոջ կամ պետական սեփականություն հանդիսացող հողի մշտական օգտագործողի կամ լիզինգառուի համար լրացվում է 1, յուրաքանչյուր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 իսկ լիզինգառուների դեպքում՝ յուրաքանչյուր լիզինգառուի համար լրացվում է 2:</w:t>
      </w:r>
    </w:p>
    <w:p>
      <w:pPr>
        <w:numPr>
          <w:ilvl w:val="0"/>
          <w:numId w:val="10"/>
        </w:numPr>
      </w:pPr>
      <w:r>
        <w:rPr/>
        <w:t xml:space="preserve">Ամփոփ տեղեկությունների 37-րդ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pPr/>
      <w:r>
        <w:rPr>
          <w:b w:val="1"/>
          <w:bCs w:val="1"/>
          <w:u w:val="single"/>
        </w:rPr>
        <w:t xml:space="preserve"> </w:t>
      </w:r>
    </w:p>
    <w:p>
      <w:pPr/>
      <w:r>
        <w:rPr>
          <w:b w:val="1"/>
          <w:bCs w:val="1"/>
          <w:u w:val="single"/>
        </w:rPr>
        <w:t xml:space="preserve"> </w:t>
      </w:r>
    </w:p>
    <w:p>
      <w:pPr>
        <w:numPr>
          <w:ilvl w:val="0"/>
          <w:numId w:val="11"/>
        </w:numPr>
      </w:pPr>
      <w:r>
        <w:rPr>
          <w:b w:val="1"/>
          <w:bCs w:val="1"/>
        </w:rPr>
        <w:t xml:space="preserve"> ԱՆՇԱՐԺ ԳՈՒՅՔԻ ՀԱՐԿՈՎ ՀԱՐԿՄԱՆ ՕԲՅԵԿՏ ՀԱՄԱՐՎՈՂ ԱՆՇԱՐԺ ԳՈՒՅՔԻ ՍԵՓԱԿԱՆԱՏԵՐԵՐԻ ԵՎ ԼԻԶԻՆԳԱՌՈՒՆԵՐԻ ՓՈՓՈԽՈՒԹՅՈՒՆՆԵՐԻ ՎԵՐԱԲԵՐՅԱԼ ՏԵՂԵԿՈՒԹՅՈՒՆՆԵՐԻ` N 2 ՁԵՎԻ ԼՐԱՑՄԱՆ ԿԱՐԳԸ</w:t>
      </w:r>
    </w:p>
    <w:p>
      <w:pPr/>
      <w:r>
        <w:rPr/>
        <w:t xml:space="preserve">     </w:t>
      </w:r>
    </w:p>
    <w:p>
      <w:pPr>
        <w:numPr>
          <w:ilvl w:val="0"/>
          <w:numId w:val="12"/>
        </w:numPr>
      </w:pPr>
      <w:r>
        <w:rPr/>
        <w:t xml:space="preserve">Ձևաթղթի վանդակները լրացվում են նշագրումներին համապատասխան: Երևան քաղաքի վարչական սահմաններում գտնվող անշարժ գույքի համար տեղեկությունների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pPr>
        <w:numPr>
          <w:ilvl w:val="0"/>
          <w:numId w:val="12"/>
        </w:numPr>
      </w:pPr>
      <w:r>
        <w:rPr/>
        <w:t xml:space="preserve">Անշարժ գույքի ընդհանուր համատեղ կամ ընդհանուր բաժնային սեփականության դեպքում բոլոր համասեփականատերերի, իսկ լիզինգի առարկա հանդիսացող անշարժ գույքի լիզինգառուների տվյալները լրացվում են հաջորդաբար՝ առանձին նոր տողերով:</w:t>
      </w:r>
    </w:p>
    <w:p>
      <w:pPr>
        <w:numPr>
          <w:ilvl w:val="0"/>
          <w:numId w:val="12"/>
        </w:numPr>
      </w:pPr>
      <w:r>
        <w:rPr/>
        <w:t xml:space="preserve">Տեղեկությունների 1-ին սյունակում, ըստ տողերի, հաջորդաբար լրացվում է գույքային միավոր հանդիսացող յուրաքանչյուր անշարժ գույքի հերթական համարը: Համասեփականատերերի կամ լիզինգառուների համար նույն գույքային միավոր հանդիսացող անշարժ գույքի հերթական համարը չի փոփոխվում:</w:t>
      </w:r>
    </w:p>
    <w:p>
      <w:pPr>
        <w:numPr>
          <w:ilvl w:val="0"/>
          <w:numId w:val="12"/>
        </w:numPr>
      </w:pPr>
      <w:r>
        <w:rPr/>
        <w:t xml:space="preserve">Տեղեկությունների 2-րդ սյունակում, ըստ տողերի, հաջորդաբար լրացվում են «Հայաստանի անշարժ գույքի տեղեկատվական համակարգ» էլեկտրոնային ծրագրում գույքային միավոր հանդիսացող յուրաքանչյուր անշարժ գույքի արխիվային ծածկագիրը, իսկ 3-րդ սյունակում՝ գույքային միավոր հանդիսացող յուրաքանչյուր անշարժ գույքը նույնականացնող միավորի բանալին:</w:t>
      </w:r>
    </w:p>
    <w:p>
      <w:pPr>
        <w:numPr>
          <w:ilvl w:val="0"/>
          <w:numId w:val="12"/>
        </w:numPr>
      </w:pPr>
      <w:r>
        <w:rPr/>
        <w:t xml:space="preserve">Տեղեկությունների 4-րդ, 5-րդ, 6-րդ, 7-րդ և 8-րդ սյունակներում, ըստ տողերի, հաջորդաբար լրացվում են յուրաքանչյուր գույքային միավոր հանդիսացող անշարժ գույքի նոր սեփականատիրոջ (համասեփականատերերի) կամ պետական սեփականություն հանդիսացող հողի նոր մշտական օգտագործողի կամ նոր լիզինգառուի (լիզինգառուների) հաշվառման (գրանցման) կամ կազմակերպության գտնվելու վայրի հասցեի տեքստային տվյալները, ինչպես նաև տվյալ հասցեի նույնականացման բաղադրիչը: Մարզի և համայնքի (վարչական շրջանի) սյունակներում լրացվում են համապատասխան ծածկագրերը կամ տեքստային տվյալները:</w:t>
      </w:r>
    </w:p>
    <w:p>
      <w:pPr>
        <w:numPr>
          <w:ilvl w:val="0"/>
          <w:numId w:val="12"/>
        </w:numPr>
      </w:pPr>
      <w:r>
        <w:rPr/>
        <w:t xml:space="preserve">Տեղեկությունների 9-րդ, 10-րդ, 11-րդ, 12-րդ և 13-րդ սյունակներում, ըստ տողերի, հաջորդաբար լրացվում են յուրաքանչյուր գույքային միավոր հանդիսացող անշարժ գույքի նոր սեփականատիրոջ (համասեփականատերերի) կամ պետական սեփականություն հանդիսացող հողի նոր մշտական օգտագործողի կամ նոր լիզինգառուի (լիզինգառուների)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անձը հաստատող փաստաթղթի տվյալները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տեղեկությունների 10-13-րդ սյունակները չեն լրացվում:</w:t>
      </w:r>
    </w:p>
    <w:p>
      <w:pPr>
        <w:numPr>
          <w:ilvl w:val="0"/>
          <w:numId w:val="12"/>
        </w:numPr>
      </w:pPr>
      <w:r>
        <w:rPr/>
        <w:t xml:space="preserve">Տեղեկությունների 14-րդ, 15-րդ, 16-րդ, 17-րդ և 18-րդ սյունակներում, ըստ տողերի, հաջորդաբար լրացվում են յուրաքանչյուր գույքային միավոր հանդիսացող անշարժ գույքի նախկին սեփականատիրոջ (համասեփականատերերի) կամ պետական սեփականություն հանդիսացող հողի նախկին մշտական օգտագործողի կամ նախկին լիզինգառուի (լիզինգառուների)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անձը հաստատող փաստաթղթի տվյալները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տեղեկությունների 15-18-րդ սյունակները չեն լրացվում:</w:t>
      </w:r>
    </w:p>
    <w:p>
      <w:pPr>
        <w:numPr>
          <w:ilvl w:val="0"/>
          <w:numId w:val="12"/>
        </w:numPr>
      </w:pPr>
      <w:r>
        <w:rPr/>
        <w:t xml:space="preserve">Տեղեկությունների 19-րդ, 20-րդ և 21-րդ սյունակներում, ըստ տողերի, հաջորդաբար լրացվում են յուրաքանչյուր գույքային միավոր հանդիսացող անշարժ գույքի գտնվելու վայրի հասցեի տեքստային տվյալները, ինչպես նաև տվյալ հասցեի նույնականացման բաղադրիչը: Համասեփականատերերի կամ լիզինգառուների համար միևնույն անշարժ գույքի գտնվելու վայրի հասցեն առաջին համասեփականատիրոջ կամ լիզինգառուի տվյալներին հաջորդիվ նոր տողերում չի լրացվում:</w:t>
      </w:r>
    </w:p>
    <w:p>
      <w:pPr>
        <w:numPr>
          <w:ilvl w:val="0"/>
          <w:numId w:val="12"/>
        </w:numPr>
      </w:pPr>
      <w:r>
        <w:rPr/>
        <w:t xml:space="preserve">Տեղեկությունների 22-րդ սյունակում, ըստ տողերի, հաջորդաբար լրացվում է յուրաքանչյուր գույքային միավոր հանդիսացող անշարժ գույքի՝ հողամասի կադաստրային ծածկագիրը: Համասեփականատերերի կամ լիզինգառուների համար հողամասի կադաստրային ծածկագիրն առաջին համասեփականատիրոջ կամ լիզինգառուի տվյալներին հաջորդիվ նոր տողերում չի լրացվում:</w:t>
      </w:r>
    </w:p>
    <w:p>
      <w:pPr>
        <w:numPr>
          <w:ilvl w:val="0"/>
          <w:numId w:val="12"/>
        </w:numPr>
      </w:pPr>
      <w:r>
        <w:rPr/>
        <w:t xml:space="preserve">Տեղեկությունների 23-րդ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օրենսգրքով սահմանված հողային ֆոնդին համապատասխան նպատակային նշանակությունը՝</w:t>
      </w:r>
    </w:p>
    <w:p>
      <w:pPr/>
      <w:r>
        <w:rPr/>
        <w:t xml:space="preserve">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pPr/>
      <w:r>
        <w:rPr/>
        <w:t xml:space="preserve">2) համասեփականատերերի կամ լիզինգառուների համար միևնույն հողամասի նպատակային նշանակությունն առաջին համասեփականատիրոջ կամ լիզինգառուի տվյալներին հաջորդիվ նոր տողերում չի լրացվում:</w:t>
      </w:r>
    </w:p>
    <w:p>
      <w:pPr>
        <w:numPr>
          <w:ilvl w:val="0"/>
          <w:numId w:val="13"/>
        </w:numPr>
      </w:pPr>
      <w:r>
        <w:rPr/>
        <w:t xml:space="preserve">Տեղեկությունների 24-րդ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օրենսգրքին համապատասխան գործառնական նշանակությունը կամ հողատեսքը՝</w:t>
      </w:r>
    </w:p>
    <w:p>
      <w:pPr/>
      <w:r>
        <w:rPr/>
        <w:t xml:space="preserve">1) գյուղատնտեսական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pPr/>
      <w:r>
        <w:rPr/>
        <w:t xml:space="preserve">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pPr/>
      <w:r>
        <w:rPr/>
        <w:t xml:space="preserve">3) արդյունաբերության,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pPr/>
      <w:r>
        <w:rPr/>
        <w:t xml:space="preserve">4) էներգետիկայի,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pPr/>
      <w:r>
        <w:rPr/>
        <w:t xml:space="preserve">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pPr/>
      <w:r>
        <w:rPr/>
        <w:t xml:space="preserve">6) համասեփականատերերի կամ լիզինգառուների համար միևնույն հողամասի գործառնական նշանակությունը կամ հողատեսքն առաջին համասեփականատիրոջ կամ լիզինգառուի տվյալներին հաջորդիվ նոր տողերում չի լրացվում:</w:t>
      </w:r>
    </w:p>
    <w:p>
      <w:pPr>
        <w:numPr>
          <w:ilvl w:val="0"/>
          <w:numId w:val="14"/>
        </w:numPr>
      </w:pPr>
      <w:r>
        <w:rPr/>
        <w:t xml:space="preserve">Տեղեկությունների 25-րդ սյունակում, ըստ տողերի, հաջորդաբար լրացվում է յուրաքանչյուր գույքային միավոր հանդիսացող անշարժ գույքի՝ հողամասի համապատասխան հողակադաստրային գնահատման շրջանը: Համասեփականատերերի կամ լիզինգառուների համար միևնույն հողամասի համապատասխան հողակադաստրային գնահատման շրջանը առաջին համասեփականատիրոջ կամ լիզինգառուի տվյալներին հաջորդիվ նոր տողերում չի լրացվում:</w:t>
      </w:r>
    </w:p>
    <w:p>
      <w:pPr>
        <w:numPr>
          <w:ilvl w:val="0"/>
          <w:numId w:val="14"/>
        </w:numPr>
      </w:pPr>
      <w:r>
        <w:rPr/>
        <w:t xml:space="preserve">Տեղեկությունների 26-րդ սյունակում, ըստ տողերի, հաջորդաբար լրացվում է յուրաքանչյուր գույքային միավոր հանդիսացող անշարժ գույքի՝ գյուղատնտեսական նշանակության հողամասի համապատասխան հողատեսքի գնահատման խումբը: Համասեփականատերերի կամ լիզինգառուների համար միևնույն գյուղատնտեսական նշանակության հողամասի համապատասխան հողատեսքի գնահատման խումբն առաջին համասեփականատիրոջ կամ լիզինգառուի տվյալներին հաջորդիվ նոր տողերում չի լրացվում:</w:t>
      </w:r>
    </w:p>
    <w:p>
      <w:pPr>
        <w:numPr>
          <w:ilvl w:val="0"/>
          <w:numId w:val="14"/>
        </w:numPr>
      </w:pPr>
      <w:r>
        <w:rPr/>
        <w:t xml:space="preserve">Տեղեկությունների 27-րդ սյունակում, ըստ տողերի, հաջորդաբար լրացվում է յուրաքանչյուր գույքային միավոր հանդիսացող անշարժ գույքի՝ ոչ գյուղատնտեսական նշանակության հողամասի տարածագնահատման (գտնվելու վայրի) գոտին: Համասեփականատերերի կամ լիզինգառուների համար միևնույն ոչ գյուղատնտեսական նշանակության հողամասի տարածագնահատման (գտնվելու վայրի) գոտին առաջին համասեփականատիրոջ կամ լիզինգառուի տվյալներին հաջորդիվ նոր տողերում չի լրացվում:</w:t>
      </w:r>
    </w:p>
    <w:p>
      <w:pPr>
        <w:numPr>
          <w:ilvl w:val="0"/>
          <w:numId w:val="14"/>
        </w:numPr>
      </w:pPr>
      <w:r>
        <w:rPr/>
        <w:t xml:space="preserve">Տեղեկությունների 28-րդ սյունակում, ըստ տողերի, հաջորդաբար լրացվում է յուրաքանչյուր գույքային միավոր հանդիսացող անշարժ գույքի՝ գնահատվող հողամասի չափը՝ հեկտարներով: Համասեփականատերերի կամ լիզինգառուների համար միևնույն գնահատվող հողամասի չափն առաջին համասեփականատիրոջ կամ լիզինգառուի տվյալներին հաջորդիվ նոր տողերում չի լրացվում:</w:t>
      </w:r>
    </w:p>
    <w:p>
      <w:pPr>
        <w:numPr>
          <w:ilvl w:val="0"/>
          <w:numId w:val="14"/>
        </w:numPr>
      </w:pPr>
      <w:r>
        <w:rPr/>
        <w:t xml:space="preserve">Տեղեկությունների 29-րդ սյունակում, ըստ տողերի, հաջորդաբար լրացվում է յուրաքանչյուր գույքային միավոր հանդիսացող անշարժ գույքի՝ գնահատվող հողամասի կարգավիճակին համապատասխանող նշումը՝ չկառուցապատված հողամասի դեպքում՝ 0, կառուցապատված հողամասի դեպքում՝ 1: Համասեփականատերերի կամ լիզինգառուների համար միևնույն գնահատվող հողամասի կարգավիճակին համապատասխանող նշումը առաջին համասեփականատիրոջ կամ լիզինգառուի տվյալներին հաջորդիվ նոր տողերում չի լրացվում:</w:t>
      </w:r>
    </w:p>
    <w:p>
      <w:pPr>
        <w:numPr>
          <w:ilvl w:val="0"/>
          <w:numId w:val="14"/>
        </w:numPr>
      </w:pPr>
      <w:r>
        <w:rPr/>
        <w:t xml:space="preserve">Տեղեկությունների 30-րդ սյունակում, ըստ տողերի, հաջորդաբար լրացվում է յուրաքանչյուր գույքային միավոր հանդիսացող անշարժ գույքի՝ հողամասի բարելավումների (շինությունների) կադաստրային ծածկագիրը: Համասեփականատերերի կամ լիզինգառուների համար հողամասի բարելավումների (շինությունների) կադաստրային ծածկագիրն առաջին համասեփականատիրոջ կամ լիզինգառուի տվյալներին հաջորդիվ նոր տողերում չի լրացվում:</w:t>
      </w:r>
    </w:p>
    <w:p>
      <w:pPr>
        <w:numPr>
          <w:ilvl w:val="0"/>
          <w:numId w:val="14"/>
        </w:numPr>
      </w:pPr>
      <w:r>
        <w:rPr/>
        <w:t xml:space="preserve">Տեղեկությունների 31-րդ սյունակում, ըստ տողերի, հաջորդաբար լրացվում է յուրաքանչյուր գույքային միավոր հանդիսացող անշարժ գույքի՝ հողամասի բարելավումների (շինությունների) օրենքին համապատասխան անվանումը՝ ըստ նպատակային նշանակության՝</w:t>
      </w:r>
    </w:p>
    <w:p>
      <w:pPr/>
      <w:r>
        <w:rPr/>
        <w:t xml:space="preserve">1) նպատակային նշանակության տվյալների առումով բնակելի նշանակության դեպքում լրացվում է` 1 (ընդ որում, անհատական բնակելի տան համար՝ 1/1, բազմաբնակարան բնակելի շենքի բնակարանի համար՝ 1/2, այգետնակի (ամառանոցի) համար՝ 1/3, բազմաբնակարան բնակելի շենքի համար՝ 1/4, բազմաբնակարան շենքի ոչ բնակելի տարածքի համար՝ 1/5, ավտոտնակի համար՝ 1/6), հասարակական նշանակության դեպքում` 2, արտադրական նշանակության դեպքում` 3.</w:t>
      </w:r>
    </w:p>
    <w:p>
      <w:pPr/>
      <w:r>
        <w:rPr/>
        <w:t xml:space="preserve">2) համասեփականատերերի կամ լիզինգառուների համար հողամասի միևնույն բարելավումների (շինությունների) տվյալներն առաջին համասեփականատիրոջ կամ լիզինգառուի տվյալներին հաջորդիվ նոր տողերում չեն լրացվում:</w:t>
      </w:r>
    </w:p>
    <w:p>
      <w:pPr>
        <w:numPr>
          <w:ilvl w:val="0"/>
          <w:numId w:val="15"/>
        </w:numPr>
      </w:pPr>
      <w:r>
        <w:rPr/>
        <w:t xml:space="preserve">Տեղեկությունների 32-րդ սյունակում, ըստ տողերի, հաջորդաբար լրացվում են յուրաքանչյուր գույքային միավոր հանդիսացող անշարժ գույքի՝ հողամասի բարելավումների (շինությունների) համապատասխան գործառնական նշանակության տեքստային տվյալները: Համասեփականատերերի կամ լիզինգառուների համար հողամասի միևնույն բարելավումների (շինությունների) գործառնական նշանակության տվյալներն առաջին համասեփականատիրոջ կամ լիզինգառուի տվյալներին հաջորդիվ նոր տողերում չեն լրացվում:</w:t>
      </w:r>
    </w:p>
    <w:p>
      <w:pPr>
        <w:numPr>
          <w:ilvl w:val="0"/>
          <w:numId w:val="15"/>
        </w:numPr>
      </w:pPr>
      <w:r>
        <w:rPr/>
        <w:t xml:space="preserve">Տեղեկությունների 33-րդ սյունակում, ըստ տողերի, հաջորդաբար լրացվում են յուրաքանչյուր գույքային միավոր հանդիսացող անշարժ գույքի՝ հողամասի անավարտ (կիսակառույց) բարելավումների (շինությունների) ավարտվածության աստիճանին համապատասխանող նշումը` «անավարտ»-ի դեպքում՝ 0, «մինչև 50%»-ի դեպքում` 1, «50-80%»-ի դեպքում` 2, «80% և ավելի»-ի դեպքում` 3: Համասեփականատերերի կամ լիզինգառուների համար հողամասի միևնույն բարելավումների (շինությունների) ավարտվածության աստիճանի տվյալներն առաջին համասեփականատիրոջ կամ լիզինգառուի տվյալներին հաջորդիվ նոր տողերում չեն լրացվում:</w:t>
      </w:r>
    </w:p>
    <w:p>
      <w:pPr>
        <w:numPr>
          <w:ilvl w:val="0"/>
          <w:numId w:val="15"/>
        </w:numPr>
      </w:pPr>
      <w:r>
        <w:rPr/>
        <w:t xml:space="preserve">Տեղեկությունների 34-րդ սյունակում, ըստ տողերի, հաջորդաբար լրացվում է յուրաքանչյուր գույքային միավոր հանդիսացող անշարժ գույքի՝ հողամասի բարելավումների (շինությունների) տարածագնահատման (գտնվելու վայրի) գոտին: Համասեփականատերերի կամ լիզինգառուների համար հողամասի միևնույն բարելավումների (շինությունների) տարածագնահատման (գտնվելու վայրի) գոտին առաջին համասեփականատիրոջ կամ լիզինգառուի տվյալներին հաջորդիվ նոր տողերում չի լրացվում:</w:t>
      </w:r>
    </w:p>
    <w:p>
      <w:pPr>
        <w:numPr>
          <w:ilvl w:val="0"/>
          <w:numId w:val="15"/>
        </w:numPr>
      </w:pPr>
      <w:r>
        <w:rPr/>
        <w:t xml:space="preserve">Տեղեկությունների 35-րդ սյունակում, ըստ տողերի, հաջորդաբար լրացվում են հողամասի բարելավումների (շինությունների)՝ յուրաքանչյուր գույքային միավոր հանդիսացող անշարժ գույքի, այդ թվում՝ անշարժ գույքի պետական միասնական կադաստր վարող մարմնի կողմից հաշվառված ինքնակամ կառուցված շինությունների՝ ընդհանուր ներքին մակերեսները՝ արտահայտված քառակուսի մետրերով: Համասեփականատերերի կամ լիզինգառուների համար հողամասի միևնույն բարելավումների (շինությունների) ընդհանուր ներքին մակերեսները առաջին համասեփականատիրոջ կամ լիզինգառուի տվյալներին հաջորդիվ նոր տողերում չեն լրացվում:</w:t>
      </w:r>
    </w:p>
    <w:p>
      <w:pPr>
        <w:numPr>
          <w:ilvl w:val="0"/>
          <w:numId w:val="15"/>
        </w:numPr>
      </w:pPr>
      <w:r>
        <w:rPr/>
        <w:t xml:space="preserve">Տեղեկությունների 36-րդ սյունակում, ըստ տողերի, հաջորդաբար յուրաքանչյուր գույքային միավոր հանդիսացող անշարժ գույքի՝ գյուղատնտեսական նշանակության հողամասի համար լրացվում է կադաստրային գնահատման կարգով հաշվարկված հաշվարկային զուտ եկամուտը՝ արտահայտված ՀՀ դրամով (1 հեկտարի համար): Համասեփականատերերի կամ լիզինգառուների համար միևնույն գյուղատնտեսական նշանակության հողամասի կադաստրային գնահատման կարգով հաշվարկված հաշվարկային զուտ եկամուտն առաջին համասեփականատիրոջ կամ լիզինգառուի տվյալներին հաջորդիվ նոր տողերում չի լրացվում:</w:t>
      </w:r>
    </w:p>
    <w:p>
      <w:pPr>
        <w:numPr>
          <w:ilvl w:val="0"/>
          <w:numId w:val="15"/>
        </w:numPr>
      </w:pPr>
      <w:r>
        <w:rPr/>
        <w:t xml:space="preserve">Տեղեկությունների 37-րդ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կադաստրային արժեքը առաջին համասեփականատիրոջ կամ լիզինգառուի տվյալներին հաջորդիվ նոր տողերում չի լրացվում:</w:t>
      </w:r>
    </w:p>
    <w:p>
      <w:pPr>
        <w:numPr>
          <w:ilvl w:val="0"/>
          <w:numId w:val="15"/>
        </w:numPr>
      </w:pPr>
      <w:r>
        <w:rPr/>
        <w:t xml:space="preserve">Տեղեկությունների 38-րդ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կադաստրային արժեքը առաջին համասեփականատիրոջ կամ լիզինգառուի տվյալներին հաջորդիվ նոր տողերում չի լրացվում:</w:t>
      </w:r>
    </w:p>
    <w:p>
      <w:pPr>
        <w:numPr>
          <w:ilvl w:val="0"/>
          <w:numId w:val="15"/>
        </w:numPr>
      </w:pPr>
      <w:r>
        <w:rPr/>
        <w:t xml:space="preserve">Տեղեկությունների 39-րդ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բարելավումների (շինությունների)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բարելավումների (շինությունների) կադաստրային արժեքը առաջին համասեփականատիրոջ կամ լիզինգառուի տվյալներին հաջորդիվ նոր տողերում չի լրացվում:</w:t>
      </w:r>
    </w:p>
    <w:p>
      <w:pPr>
        <w:numPr>
          <w:ilvl w:val="0"/>
          <w:numId w:val="15"/>
        </w:numPr>
      </w:pPr>
      <w:r>
        <w:rPr/>
        <w:t xml:space="preserve">Տեղեկությունների 40-րդ սյունակում, ըստ տողերի, հաջորդաբար յուրաքանչյուր գույքային միավոր հանդիսացող անշարժ գույքի համար լրացվում է անշարժ գույքի նկատմամբ իրավունքների պետական գրանցման ամսաթիվը՝ օրը, ամիսը, տարեթիվը (օրինակ՝ 2005 թվականի հուլիսի 15-ի գրանցումը նշվում է` 15.07.2005): Համասեփականատերերի կամ լիզինգառուների համար միևնույն անշարժ գույքի նկատմամբ իրավունքների պետական գրանցման ամսաթիվն առաջին համասեփականատիրոջ կամ լիզինգառուի տվյալներին հաջորդիվ նոր տողերում չի լրացվում:</w:t>
      </w:r>
    </w:p>
    <w:p>
      <w:pPr>
        <w:numPr>
          <w:ilvl w:val="0"/>
          <w:numId w:val="15"/>
        </w:numPr>
      </w:pPr>
      <w:r>
        <w:rPr/>
        <w:t xml:space="preserve">Տեղեկությունների 41-րդ սյունակում, ըստ տողերի, հաջորդաբար յուրաքանչյուր գույքային միավոր հանդիսացող անշարժ գույքի նոր սեփականատիրոջ կամ պետական սեփականություն հանդիսացող հողի նոր մշտական օգտագործողի կամ նոր լիզինգառուի համար լրացվում է 1, յուրաքանչյուր նոր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 իսկ նոր լիզինգառուների դեպքում՝ յուրաքանչյուր նոր լիզինգառուի համար լրացվում է 2:</w:t>
      </w:r>
    </w:p>
    <w:p>
      <w:pPr>
        <w:numPr>
          <w:ilvl w:val="0"/>
          <w:numId w:val="15"/>
        </w:numPr>
      </w:pPr>
      <w:r>
        <w:rPr/>
        <w:t xml:space="preserve">Տեղեկությունների 42-րդ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pPr/>
      <w:r>
        <w:rPr>
          <w:b w:val="1"/>
          <w:bCs w:val="1"/>
          <w:u w:val="single"/>
        </w:rPr>
        <w:t xml:space="preserve"> </w:t>
      </w:r>
    </w:p>
    <w:p>
      <w:pPr>
        <w:numPr>
          <w:ilvl w:val="0"/>
          <w:numId w:val="16"/>
        </w:numPr>
      </w:pPr>
      <w:r>
        <w:rPr>
          <w:b w:val="1"/>
          <w:bCs w:val="1"/>
        </w:rPr>
        <w:t xml:space="preserve"> ԱՆՇԱՐԺ ԳՈՒՅՔԻ ՀԱՐԿՈՎ ՀԱՐԿՄԱՆ ՕԲՅԵԿՏ ՀԱՄԱՐՎՈՂ ԱՆՇԱՐԺ ԳՈՒՅՔԻ ԵՎ ԼԻԶԻՆԳԻ ԱՌԱՐԿԱ ՀԱՆԴԻՍԱՑՈՂ ԱՆՇԱՐԺ ԳՈՒՅՔԻ ՀԱՇՎԱՌՄԱՆ ՈՒ ԳՆԱՀԱՏՄԱՆ ՏՎՅԱԼՆԵՐԻ ՓՈՓՈԽՈՒԹՅՈՒՆՆԵՐԻ ՎԵՐԱԲԵՐՅԱԼ ՏԵՂԵԿՈՒԹՅՈՒՆՆԵՐԻ` N 3 ՁԵՎԻ ԼՐԱՑՄԱՆ ԿԱՐԳԸ</w:t>
      </w:r>
    </w:p>
    <w:p>
      <w:pPr/>
      <w:r>
        <w:rPr/>
        <w:t xml:space="preserve">     </w:t>
      </w:r>
    </w:p>
    <w:p>
      <w:pPr>
        <w:numPr>
          <w:ilvl w:val="0"/>
          <w:numId w:val="17"/>
        </w:numPr>
      </w:pPr>
      <w:r>
        <w:rPr/>
        <w:t xml:space="preserve">Ձևաթղթի վանդակները լրացվում են նշագրումներին համապատասխան: Երևան քաղաքի վարչական սահմաններում գտնվող անշարժ գույքի համար տեղեկությունների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pPr>
        <w:numPr>
          <w:ilvl w:val="0"/>
          <w:numId w:val="17"/>
        </w:numPr>
      </w:pPr>
      <w:r>
        <w:rPr/>
        <w:t xml:space="preserve">Անշարժ գույքի ընդհանուր համատեղ կամ ընդհանուր բաժնային սեփականության դեպքում բոլոր համասեփականատերերի, իսկ լիզինգի առարկա հանդիսացող անշարժ գույքի լիզինգառուների տվյալները լրացվում են հաջորդաբար՝ առանձին նոր տողերով:</w:t>
      </w:r>
    </w:p>
    <w:p>
      <w:pPr>
        <w:numPr>
          <w:ilvl w:val="0"/>
          <w:numId w:val="17"/>
        </w:numPr>
      </w:pPr>
      <w:r>
        <w:rPr/>
        <w:t xml:space="preserve">Տեղեկությունների 1-ին սյունակում, ըստ տողերի, հաջորդաբար լրացվում է գույքային միավոր հանդիսացող յուրաքանչյուր անշարժ գույքի հերթական համարը: Համասեփականատերերի կամ լիզինգառուների համար նույն գույքային միավոր հանդիսացող անշարժ գույքի հերթական համարը չի փոփոխվում:</w:t>
      </w:r>
    </w:p>
    <w:p>
      <w:pPr>
        <w:numPr>
          <w:ilvl w:val="0"/>
          <w:numId w:val="17"/>
        </w:numPr>
      </w:pPr>
      <w:r>
        <w:rPr/>
        <w:t xml:space="preserve">Տեղեկությունների 2-րդ սյունակում, ըստ տողերի, հաջորդաբար լրացվում են «Հայաստանի անշարժ գույքի տեղեկատվական համակարգ» էլեկտրոնային ծրագրում գույքային միավոր հանդիսացող յուրաքանչյուր անշարժ գույքի արխիվային ծածկագիրը, իսկ 3-րդ սյունակում՝ գույքային միավոր հանդիսացող յուրաքանչյուր անշարժ գույքը նույնականացնող միավորի բանալին:</w:t>
      </w:r>
    </w:p>
    <w:p>
      <w:pPr>
        <w:numPr>
          <w:ilvl w:val="0"/>
          <w:numId w:val="17"/>
        </w:numPr>
      </w:pPr>
      <w:r>
        <w:rPr/>
        <w:t xml:space="preserve">Տեղեկությունների 4-րդ, 5-րդ, 6-րդ, 7-րդ և 8-րդ սյունակներում, ըստ տողերի, հաջորդաբար լրացվում են յուրաքանչյուր գույքային միավոր հանդիսացող անշարժ գույքի սեփականատիրոջ (համասեփականատերերի) կամ պետական սեփականություն հանդիսացող հողի մշտական օգտագործողի կամ լիզինգառուի (լիզինգառուների) հաշվառման (գրանցման) կամ կազմակերպության գտնվելու վայրի հասցեի տեքստային տվյալները, ինչպես նաև տվյալ հասցեի նույնականացման բաղադրիչը: Մարզի և համայնքի (վարչական շրջանի) սյունակներում լրացվում են համապատասխան ծածկագրերը կամ տեքստային տվյալները:</w:t>
      </w:r>
    </w:p>
    <w:p>
      <w:pPr>
        <w:numPr>
          <w:ilvl w:val="0"/>
          <w:numId w:val="17"/>
        </w:numPr>
      </w:pPr>
      <w:r>
        <w:rPr/>
        <w:t xml:space="preserve">Տեղեկությունների 9-րդ, 10-րդ, 11-րդ, 12-րդ և 13-րդ սյունակներում, ըստ տողերի, հաջորդաբար լրացվում են յուրաքանչյուր գույքային միավոր հանդիսացող անշարժ գույքի սեփականատիրոջ (համասեփականատերերի) կամ պետական սեփականություն հանդիսացող հողի մշտական օգտագործողի կամ լիզինգառուի (լիզինգառուների)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անձը հաստատող փաստաթղթի տվյալները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տեղեկությունների 10-13-րդ սյունակները չեն լրացվում:</w:t>
      </w:r>
    </w:p>
    <w:p>
      <w:pPr>
        <w:numPr>
          <w:ilvl w:val="0"/>
          <w:numId w:val="17"/>
        </w:numPr>
      </w:pPr>
      <w:r>
        <w:rPr/>
        <w:t xml:space="preserve">Տեղեկությունների 14-րդ, 15-րդ և 16-րդ սյունակներում, ըստ տողերի, հաջորդաբար լրացվում են յուրաքանչյուր գույքային միավոր հանդիսացող անշարժ գույքի գտնվելու վայրի հասցեի տեքստային տվյալները, ինչպես նաև տվյալ հասցեի նույնականացման բաղադրիչը: Համասեփականատերերի կամ լիզինգառուների համար միևնույն անշարժ գույքի գտնվելու վայրի հասցեն առաջին համասեփականատիրոջ կամ լիզինգառուի տվյալներին հաջորդիվ նոր տողերում չի լրացվում:</w:t>
      </w:r>
    </w:p>
    <w:p>
      <w:pPr>
        <w:numPr>
          <w:ilvl w:val="0"/>
          <w:numId w:val="17"/>
        </w:numPr>
      </w:pPr>
      <w:r>
        <w:rPr/>
        <w:t xml:space="preserve">Տեղեկությունների 17-րդ սյունակում, ըստ տողերի, հաջորդաբար լրացվում է յուրաքանչյուր գույքային միավոր հանդիսացող անշարժ գույքի՝ հողամասի կադաստրային ծածկագիրը: Համասեփականատերերի կամ լիզինգառուների համար հողամասի կադաստրային ծածկագիրն առաջին համասեփականատիրոջ կամ լիզինգառուի տվյալներին հաջորդիվ նոր տողերում չի լրացվում:</w:t>
      </w:r>
    </w:p>
    <w:p>
      <w:pPr>
        <w:numPr>
          <w:ilvl w:val="0"/>
          <w:numId w:val="17"/>
        </w:numPr>
      </w:pPr>
      <w:r>
        <w:rPr/>
        <w:t xml:space="preserve">Տեղեկությունների 18-րդ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օրենսգրքով սահմանված հողային ֆոնդին համապատասխան նպատակային նշանակությունը՝</w:t>
      </w:r>
    </w:p>
    <w:p>
      <w:pPr/>
      <w:r>
        <w:rPr/>
        <w:t xml:space="preserve">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pPr/>
      <w:r>
        <w:rPr/>
        <w:t xml:space="preserve">2) համասեփականատերերի կամ լիզինգառուների համար միևնույն հողամասի նպատակային նշանակությունն առաջին համասեփականատիրոջ կամ լիզինգառուի տվյալներին հաջորդիվ նոր տողերում չի լրացվում:</w:t>
      </w:r>
    </w:p>
    <w:p>
      <w:pPr>
        <w:numPr>
          <w:ilvl w:val="0"/>
          <w:numId w:val="18"/>
        </w:numPr>
      </w:pPr>
      <w:r>
        <w:rPr/>
        <w:t xml:space="preserve">Տեղեկությունների 19-րդ սյունակում, ըստ տողերի, հաջորդաբար լրացվում է յուրաքանչյուր գույքային միավոր հանդիսացող անշարժ գույքի՝ հողամասի Հայաստանի Հանրապետության հողային օրենսգրքին համապատասխան գործառնական նշանակությունը կամ հողատեսքը՝</w:t>
      </w:r>
    </w:p>
    <w:p>
      <w:pPr/>
      <w:r>
        <w:rPr/>
        <w:t xml:space="preserve">1) գյուղատնտեսական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pPr/>
      <w:r>
        <w:rPr/>
        <w:t xml:space="preserve">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pPr/>
      <w:r>
        <w:rPr/>
        <w:t xml:space="preserve">3) արդյունաբերության,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pPr/>
      <w:r>
        <w:rPr/>
        <w:t xml:space="preserve">4) էներգետիկայի,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pPr/>
      <w:r>
        <w:rPr/>
        <w:t xml:space="preserve">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pPr/>
      <w:r>
        <w:rPr/>
        <w:t xml:space="preserve">6) համասեփականատերերի կամ լիզինգառուների համար միևնույն հողամասի գործառնական նշանակությունը կամ հողատեսքն առաջին համասեփականատիրոջ կամ լիզինգառուի տվյալներին հաջորդիվ նոր տողերում չի լրացվում:</w:t>
      </w:r>
    </w:p>
    <w:p>
      <w:pPr>
        <w:numPr>
          <w:ilvl w:val="0"/>
          <w:numId w:val="19"/>
        </w:numPr>
      </w:pPr>
      <w:r>
        <w:rPr/>
        <w:t xml:space="preserve">Տեղեկությունների 20-րդ սյունակում, ըստ տողերի, հաջորդաբար լրացվում է յուրաքանչյուր գույքային միավոր հանդիսացող անշարժ գույքի՝ հողամասի համապատասխան հողակադաստրային գնահատման շրջանը: Համասեփականատերերի կամ լիզինգառուների համար միևնույն հողամասի համապատասխան հողակադաստրային գնահատման շրջանը առաջին համասեփականատիրոջ կամ լիզինգառուի տվյալներին հաջորդիվ նոր տողերում չի լրացվում:</w:t>
      </w:r>
    </w:p>
    <w:p>
      <w:pPr>
        <w:numPr>
          <w:ilvl w:val="0"/>
          <w:numId w:val="19"/>
        </w:numPr>
      </w:pPr>
      <w:r>
        <w:rPr/>
        <w:t xml:space="preserve">Տեղեկությունների 21-րդ սյունակում, ըստ տողերի, հաջորդաբար լրացվում է յուրաքանչյուր գույքային միավոր հանդիսացող անշարժ գույքի՝ գյուղատնտեսական նշանակության հողամասի համապատասխան հողատեսքի գնահատման խումբը: Համասեփականատերերի կամ լիզինգառուների համար միևնույն գյուղատնտեսական նշանակության հողամասի համապատասխան հողատեսքի գնահատման խումբն առաջին համասեփականատիրոջ կամ լիզինգառուի տվյալներին հաջորդիվ նոր տողերում չի լրացվում:</w:t>
      </w:r>
    </w:p>
    <w:p>
      <w:pPr>
        <w:numPr>
          <w:ilvl w:val="0"/>
          <w:numId w:val="19"/>
        </w:numPr>
      </w:pPr>
      <w:r>
        <w:rPr/>
        <w:t xml:space="preserve">Տեղեկությունների 22-րդ սյունակում, ըստ տողերի, հաջորդաբար լրացվում է յուրաքանչյուր գույքային միավոր հանդիսացող անշարժ գույքի՝ ոչ գյուղատնտեսական նշանակության հողամասի տարածագնահատման (գտնվելու վայրի) գոտին: Համասեփականատերերի կամ լիզինգառուների համար միևնույն ոչ գյուղատնտեսական նշանակության հողամասի տարածագնահատման (գտնվելու վայրի) գոտին առաջին համասեփականատիրոջ կամ լիզինգառուի տվյալներին հաջորդիվ նոր տողերում չի լրացվում:</w:t>
      </w:r>
    </w:p>
    <w:p>
      <w:pPr>
        <w:numPr>
          <w:ilvl w:val="0"/>
          <w:numId w:val="19"/>
        </w:numPr>
      </w:pPr>
      <w:r>
        <w:rPr/>
        <w:t xml:space="preserve">Տեղեկությունների 23-րդ սյունակում, ըստ տողերի, հաջորդաբար լրացվում է յուրաքանչյուր գույքային միավոր հանդիսացող անշարժ գույքի՝ գնահատվող հողամասի չափը՝ հեկտարներով: Համասեփականատերերի կամ լիզինգառուների համար միևնույն գնահատվող հողամասի չափն առաջին համասեփականատիրոջ կամ լիզինգառուի տվյալներին հաջորդիվ նոր տողերում չի լրացվում:</w:t>
      </w:r>
    </w:p>
    <w:p>
      <w:pPr>
        <w:numPr>
          <w:ilvl w:val="0"/>
          <w:numId w:val="19"/>
        </w:numPr>
      </w:pPr>
      <w:r>
        <w:rPr/>
        <w:t xml:space="preserve">Տեղեկությունների 24-րդ սյունակում, ըստ տողերի, հաջորդաբար լրացվում է յուրաքանչյուր գույքային միավոր հանդիսացող անշարժ գույքի՝ գնահատվող հողամասի կարգավիճակին համապատասխանող նշումը՝ չկառուցապատված հողամասի դեպքում՝ 0, կառուցապատված հողամասի դեպքում՝ 1: Համասեփականատերերի կամ լիզինգառուների համար միևնույն գնահատվող հողամասի կարգավիճակին համապատասխանող նշումը առաջին համասեփականատիրոջ կամ լիզինգառուի տվյալներին հաջորդիվ նոր տողերում չի լրացվում:</w:t>
      </w:r>
    </w:p>
    <w:p>
      <w:pPr>
        <w:numPr>
          <w:ilvl w:val="0"/>
          <w:numId w:val="19"/>
        </w:numPr>
      </w:pPr>
      <w:r>
        <w:rPr/>
        <w:t xml:space="preserve">Տեղեկությունների 25-րդ սյունակում, ըստ տողերի, հաջորդաբար լրացվում է յուրաքանչյուր գույքային միավոր հանդիսացող անշարժ գույքի՝ հողամասի բարելավումների (շինությունների) կադաստրային ծածկագիրը: Համասեփականատերերի կամ լիզինգառուների համար հողամասի բարելավումների (շինությունների) կադաստրային ծածկագիրն առաջին համասեփականատիրոջ կամ լիզինգառուի տվյալներին հաջորդիվ նոր տողերում չի լրացվում:</w:t>
      </w:r>
    </w:p>
    <w:p>
      <w:pPr>
        <w:numPr>
          <w:ilvl w:val="0"/>
          <w:numId w:val="19"/>
        </w:numPr>
      </w:pPr>
      <w:r>
        <w:rPr/>
        <w:t xml:space="preserve">Տեղեկությունների 26-րդ սյունակում, ըստ տողերի, հաջորդաբար լրացվում է յուրաքանչյուր գույքային միավոր հանդիսացող անշարժ գույքի՝ հողամասի բարելավումների (շինությունների) օրենքին համապատասխան անվանումը՝ ըստ նպատակային նշանակության՝</w:t>
      </w:r>
    </w:p>
    <w:p>
      <w:pPr/>
      <w:r>
        <w:rPr/>
        <w:t xml:space="preserve">1) նպատակային նշանակության տվյալների առումով բնակելի նշանակության դեպքում լրացվում է` 1 (ընդ որում, անհատական բնակելի տան համար՝ 1/1, բազմաբնակարան բնակելի շենքի բնակարանի համար՝ 1/2, այգետնակի (ամառանոցի) համար՝ 1/3, բազմաբնակարան բնակելի շենքի համար՝ 1/4, բազմաբնակարան շենքի ոչ բնակելի տարածքի համար՝ 1/5, ավտոտնակի համար՝ 1/6), հասարակական նշանակության դեպքում` 2, արտադրական նշանակության դեպքում` 3.</w:t>
      </w:r>
    </w:p>
    <w:p>
      <w:pPr/>
      <w:r>
        <w:rPr/>
        <w:t xml:space="preserve">2) համասեփականատերերի կամ լիզինգառուների համար հողամասի միևնույն բարելավումների (շինությունների) տվյալներն առաջին համասեփականատիրոջ կամ լիզինգառուի տվյալներին հաջորդիվ նոր տողերում չեն լրացվում:</w:t>
      </w:r>
    </w:p>
    <w:p>
      <w:pPr>
        <w:numPr>
          <w:ilvl w:val="0"/>
          <w:numId w:val="20"/>
        </w:numPr>
      </w:pPr>
      <w:r>
        <w:rPr/>
        <w:t xml:space="preserve">Տեղեկությունների 27-րդ սյունակում, ըստ տողերի, հաջորդաբար լրացվում են յուրաքանչյուր գույքային միավոր հանդիսացող անշարժ գույքի՝ հողամասի բարելավումների (շինությունների) համապատասխան գործառնական նշանակության տեքստային տվյալները: Համասեփականատերերի կամ լիզինգառուների համար հողամասի միևնույն բարելավումների (շինությունների) գործառնական նշանակության տվյալներն առաջին համասեփականատիրոջ կամ լիզինգառուի տվյալներին հաջորդիվ նոր տողերում չեն լրացվում:</w:t>
      </w:r>
    </w:p>
    <w:p>
      <w:pPr>
        <w:numPr>
          <w:ilvl w:val="0"/>
          <w:numId w:val="20"/>
        </w:numPr>
      </w:pPr>
      <w:r>
        <w:rPr/>
        <w:t xml:space="preserve">Տեղեկությունների 28-րդ սյունակում, ըստ տողերի, հաջորդաբար լրացվում են յուրաքանչյուր գույքային միավոր հանդիսացող անշարժ գույքի՝ հողամասի անավարտ (կիսակառույց) բարելավումների (շինությունների) ավարտվածության աստիճանին համապատասխանող նշումը` «անավարտ»-ի դեպքում՝ 0, «մինչև 50%»-ի դեպքում` 1, «50-80%»-ի դեպքում` 2, «80% և ավելի»-ի դեպքում` 3: Համասեփականատերերի կամ լիզինգառուների համար հողամասի միևնույն բարելավումների (շինությունների) ավարտվածության աստիճանի տվյալներն առաջին համասեփականատիրոջ կամ լիզինգառուի տվյալներին հաջորդիվ նոր տողերում չեն լրացվում:</w:t>
      </w:r>
    </w:p>
    <w:p>
      <w:pPr>
        <w:numPr>
          <w:ilvl w:val="0"/>
          <w:numId w:val="20"/>
        </w:numPr>
      </w:pPr>
      <w:r>
        <w:rPr/>
        <w:t xml:space="preserve">Տեղեկությունների 29-րդ սյունակում, ըստ տողերի, հաջորդաբար լրացվում է յուրաքանչյուր գույքային միավոր հանդիսացող անշարժ գույքի՝ հողամասի բարելավումների (շինությունների) տարածագնահատման (գտնվելու վայրի) գոտին: Համասեփականատերերի կամ լիզինգառուների համար հողամասի միևնույն բարելավումների (շինությունների) տարածագնահատման (գտնվելու վայրի) գոտին առաջին համասեփականատիրոջ կամ լիզինգառուի տվյալներին հաջորդիվ նոր տողերում չի լրացվում:</w:t>
      </w:r>
    </w:p>
    <w:p>
      <w:pPr>
        <w:numPr>
          <w:ilvl w:val="0"/>
          <w:numId w:val="20"/>
        </w:numPr>
      </w:pPr>
      <w:r>
        <w:rPr/>
        <w:t xml:space="preserve">Տեղեկությունների 30-րդ սյունակում, ըստ տողերի, հաջորդաբար լրացվում են հողամասի բարելավումների (շինությունների)՝ յուրաքանչյուր գույքային միավոր հանդիսացող անշարժ գույքի, այդ թվում՝ անշարժ գույքի պետական միասնական կադաստր վարող մարմնի կողմից հաշվառված ինքնակամ կառուցված շինությունների՝ ընդհանուր ներքին մակերեսները, այդ թվում՝ անշարժ գույքի պետական միասնական կադաստր վարող մարմնի կողմից հաշվառված ինքնակամ կառուցված շինությունների՝ քառակուսի մետրերով: Համասեփականատերերի կամ լիզինգառուների համար հողամասի միևնույն բարելավումների (շինությունների) ընդհանուր ներքին մակերեսը առաջին համասեփականատիրոջ կամ լիզինգառուի տվյալներին հաջորդիվ նոր տողերում չեն լրացվում:</w:t>
      </w:r>
    </w:p>
    <w:p>
      <w:pPr>
        <w:numPr>
          <w:ilvl w:val="0"/>
          <w:numId w:val="20"/>
        </w:numPr>
      </w:pPr>
      <w:r>
        <w:rPr/>
        <w:t xml:space="preserve">Տեղեկությունների 31-րդ սյունակում, ըստ տողերի, հաջորդաբար յուրաքանչյուր գույքային միավոր հանդիսացող անշարժ գույքի՝ գյուղատնտեսական նշանակության հողամասի համար լրացվում է կադաստրային գնահատման կարգով հաշվարկված հաշվարկային զուտ եկամուտը՝ արտահայտված ՀՀ դրամով (1 հեկտարի համար): Համասեփականատերերի կամ լիզինգառուների համար միևնույն գյուղատնտեսական նշանակության հողամասի կադաստրային գնահատման կարգով հաշվարկված հաշվարկային զուտ եկամուտն առաջին համասեփականատիրոջ կամ լիզինգառուի տվյալներին հաջորդաբար նոր տողերում չի լրացվում:</w:t>
      </w:r>
    </w:p>
    <w:p>
      <w:pPr>
        <w:numPr>
          <w:ilvl w:val="0"/>
          <w:numId w:val="20"/>
        </w:numPr>
      </w:pPr>
      <w:r>
        <w:rPr/>
        <w:t xml:space="preserve">Տեղեկությունների 32-րդ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կադաստրային արժեքը առաջին համասեփականատիրոջ կամ լիզինգառուի տվյալներին հաջորդաբար նոր տողերում չի լրացվում:</w:t>
      </w:r>
    </w:p>
    <w:p>
      <w:pPr>
        <w:numPr>
          <w:ilvl w:val="0"/>
          <w:numId w:val="20"/>
        </w:numPr>
      </w:pPr>
      <w:r>
        <w:rPr/>
        <w:t xml:space="preserve">Տեղեկությունների 33-րդ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կադաստրային արժեքը առաջին համասեփականատիրոջ կամ լիզինգառուի տվյալներին հաջորդաբար նոր տողերում չի լրացվում:</w:t>
      </w:r>
    </w:p>
    <w:p>
      <w:pPr>
        <w:numPr>
          <w:ilvl w:val="0"/>
          <w:numId w:val="20"/>
        </w:numPr>
      </w:pPr>
      <w:r>
        <w:rPr/>
        <w:t xml:space="preserve">Տեղեկությունների 34-րդ սյունակում, ըստ տողերի, հաջորդաբար յուրաքանչյուր գույքային միավոր հանդիսացող անշարժ գույքի համար (բացառությամբ գյուղատնտեսական նշանակության հողամասերի) լրացվում է անշարժ գույքի հարկով հարկման նպատակով անշարժ գույքի շուկայական արժեքին մոտարկված հողամասի բարելավումների (շինությունների) կադաստրային արժեքը՝ արտահայտված ՀՀ դրամով: Համասեփականատերերի կամ լիզինգառուների համար անշարժ գույքի հարկով հարկման նպատակով միևնույն անշարժ գույքի (բացառությամբ գյուղատնտեսական նշանակության հողամասերի) շուկայական արժեքին մոտարկված հողամասի բարելավումների (շինությունների) կադաստրային արժեքը առաջին համասեփականատիրոջ կամ լիզինգառուի տվյալներին հաջորդաբար նոր տողերում չի լրացվում:</w:t>
      </w:r>
    </w:p>
    <w:p>
      <w:pPr>
        <w:numPr>
          <w:ilvl w:val="0"/>
          <w:numId w:val="20"/>
        </w:numPr>
      </w:pPr>
      <w:r>
        <w:rPr/>
        <w:t xml:space="preserve">Տեղեկությունների 35-րդ սյունակում, ըստ տողերի, հաջորդաբար յուրաքանչյուր գույքային միավոր հանդիսացող անշարժ գույքի համար լրացվում է անշարժ գույքի նկատմամբ իրավունքների պետական գրանցման ամսաթիվը՝ օրը, ամիսը, տարեթիվը (օրինակ՝ 2005 թվականի հուլիսի 15-ի գրանցումը նշվում է` 15.07.2005): Համասեփականատերերի կամ լիզինգառուների համար միևնույն անշարժ գույքի նկատմամբ իրավունքների պետական գրանցման ամսաթիվն առաջին համասեփականատիրոջ կամ լիզինգառուի տվյալներին հաջորդաբար նոր տողերում չի լրացվում:</w:t>
      </w:r>
    </w:p>
    <w:p>
      <w:pPr>
        <w:numPr>
          <w:ilvl w:val="0"/>
          <w:numId w:val="20"/>
        </w:numPr>
      </w:pPr>
      <w:r>
        <w:rPr/>
        <w:t xml:space="preserve">Տեղեկությունների 36-րդ սյունակում, ըստ տողերի, հաջորդաբար յուրաքանչյուր գույքային միավոր հանդիսացող անշարժ գույքի սեփականատիրոջ կամ պետական սեփականություն հանդիսացող հողի մշտական օգտագործողի կամ լիզինգառուի համար լրացվում է 1, յուրաքանչյուր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 իսկ լիզինգառուների դեպքում՝ յուրաքանչյուր լիզինգառուի համար լրացվում է 2:</w:t>
      </w:r>
    </w:p>
    <w:p>
      <w:pPr>
        <w:numPr>
          <w:ilvl w:val="0"/>
          <w:numId w:val="20"/>
        </w:numPr>
      </w:pPr>
      <w:r>
        <w:rPr/>
        <w:t xml:space="preserve">Տեղեկությունների 37-րդ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pPr>
        <w:numPr>
          <w:ilvl w:val="0"/>
          <w:numId w:val="20"/>
        </w:numPr>
      </w:pPr>
      <w:r>
        <w:rPr/>
        <w:t xml:space="preserve">Տեղեկությունների 38-րդ սյունակում, ըստ տողերի, հաջորդաբար լրացվում է անշարժ գույքի նկատմամբ սեփականության իրավունքի դադարման, լիզինգի իրավունքի դադարման, հողամասի բարելավումների (շինությունների) քանդման կամ վերացման դեպքերում նշելով՝ 1, անշարժ գույքի նկատմամբ սեփականության իրավունքի ծագման, լիզինգի իրավունքի ծագման, հողամասի նորակառույց բարելավումների (շինությունների) կամ հողամասի բարելավումների (շինությունների) հարկայնության փոփոխության, ինչպես նաև օրենքով սահմանված այլ հիմքերի դեպքերում նշելով՝ 2: Համասեփականատերերի կամ լիզինգառուների համար միևնույն անշարժ գույքի նկատմամբ սեփականության իրավունքի դադարումը, ծագումը, հողամասի բարելավումների (շինությունների) քանդումը կամ վերացումը, հողամասի նորակառույց բարելավումը կամ հողամասի բարելավումների (շինությունների) հարկայնության փոփոխությունն առաջին համասեփականատիրոջ կամ լիզինգառուի տվյալներին հաջորդիվ նոր տողերում չեն լրացվում:</w:t>
      </w:r>
    </w:p>
    <w:p>
      <w:pPr/>
      <w:r>
        <w:rPr>
          <w:b w:val="1"/>
          <w:bCs w:val="1"/>
          <w:u w:val="single"/>
        </w:rPr>
        <w:t xml:space="preserve"> </w:t>
      </w:r>
    </w:p>
    <w:p>
      <w:pPr>
        <w:numPr>
          <w:ilvl w:val="0"/>
          <w:numId w:val="21"/>
        </w:numPr>
      </w:pPr>
      <w:r>
        <w:rPr>
          <w:b w:val="1"/>
          <w:bCs w:val="1"/>
        </w:rPr>
        <w:t xml:space="preserve"> ՎԱՐՁԱԿԱԼՈՒԹՅԱՆ, ԿԱՌՈՒՑԱՊԱՏՄԱՆ, ԻՆՉՊԵՍ ՆԱԵՎ ԱՆՀԱՏՈՒՅՑ (ՄՇՏԱԿԱՆ) ՕԳՏԱԳՈՐԾՄԱՆ ԻՐԱՎՈՒՆՔՈՎ ՏՐԱՄԱԴՐՎԱԾ ՀԱՄԱՅՆՔԱՅԻՆ ՍԵՓԱԿԱՆՈՒԹՅՈՒՆ ՀԱՆԴԻՍԱՑՈՂ ԱՆՇԱՐԺ ԳՈՒՅՔԻ ՎԵՐԱԲԵՐՅԱԼ ՏԵՂԱԿԱՆ ԻՆՔՆԱԿԱՌԱՎԱՐՄԱՆ ՄԱՐՄԻՆՆԵՐԻՆ ՏԵՂԵԿՈՒԹՅՈՒՆՆԵՐ ՆԵՐԿԱՅԱՑՆԵԼՈՒ ԿԱՐԳԸ</w:t>
      </w:r>
    </w:p>
    <w:p>
      <w:pPr/>
      <w:r>
        <w:rPr>
          <w:b w:val="1"/>
          <w:bCs w:val="1"/>
        </w:rPr>
        <w:t xml:space="preserve"> </w:t>
      </w:r>
    </w:p>
    <w:p>
      <w:pPr>
        <w:numPr>
          <w:ilvl w:val="0"/>
          <w:numId w:val="22"/>
        </w:numPr>
      </w:pPr>
      <w:r>
        <w:rPr/>
        <w:t xml:space="preserve">Անշարժ գույքի պետական միասնական կադաստր վարող մարմինը Հայաստանի Հանրապետության հարկային օրենսգրքի 235-րդ հոդվածի 1-ին մասի 1-ին, 2-րդ կետերին, սույն հավելվածի 3-րդ, 4-րդ, 5-րդ կետերին համապատասխան տեղական ինքնակառավարման մարմիններին է ներկայացնում վարձակալության, կառուցապատման, ինչպես նաև անհատույց (մշտական) օգտագործման իրավունքով տրամադրված համայնքային սեփականություն հանդիսացող անշարժ գույքի վերաբերյալ հետևյալ տեղեկությունները.</w:t>
      </w:r>
    </w:p>
    <w:p>
      <w:pPr/>
      <w:r>
        <w:rPr/>
        <w:t xml:space="preserve">1) «Հայաստանի անշարժ գույքի տեղեկատվական համակարգ» էլեկտրոնային ծրագրում գույքային միավոր հանդիսացող յուրաքանչյուր անշարժ գույքի արխիվային ծածկագիրը,</w:t>
      </w:r>
    </w:p>
    <w:p>
      <w:pPr/>
      <w:r>
        <w:rPr/>
        <w:t xml:space="preserve">2) գույքային միավոր հանդիսացող յուրաքանչյուր անշարժ գույքը նույնականացնող միավորի բանալին,</w:t>
      </w:r>
    </w:p>
    <w:p>
      <w:pPr/>
      <w:r>
        <w:rPr/>
        <w:t xml:space="preserve">3) համայնքային սեփականություն հանդիսացող անշարժ գույքի վարձակալի, կառուցապատողի, ինչպես նաև անհատույց (մշտական) օգտագործողի հաշվառման (գրանցման) կամ կազմակերպության գտնվելու վայրի հասցեի տեքստային տվյալները, ինչպես նաև տվյալ հասցեի նույնականացման բաղադրիչը,</w:t>
      </w:r>
    </w:p>
    <w:p>
      <w:pPr/>
      <w:r>
        <w:rPr/>
        <w:t xml:space="preserve">4) համայնքային սեփականություն հանդիսացող անշարժ գույքի վարձակալի, կառուցապատողի, ինչպես նաև անհատույց (մշտական) օգտագործողի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անձը հաստատող փաստաթղթի տվյալները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w:t>
      </w:r>
    </w:p>
    <w:p>
      <w:pPr/>
      <w:r>
        <w:rPr/>
        <w:t xml:space="preserve">5) յուրաքանչյուր գույքային միավոր հանդիսացող անշարժ գույքի գտնվելու վայրի հասցեի տեքստային տվյալները, ինչպես նաև տվյալ հասցեի նույնականացման բաղադրիչը,</w:t>
      </w:r>
    </w:p>
    <w:p>
      <w:pPr/>
      <w:r>
        <w:rPr/>
        <w:t xml:space="preserve">6) յուրաքանչյուր գույքային միավոր հանդիսացող անշարժ գույքի նկատմամբ գրանցված իրավունքի տեսակը,</w:t>
      </w:r>
    </w:p>
    <w:p>
      <w:pPr/>
      <w:r>
        <w:rPr/>
        <w:t xml:space="preserve">7) յուրաքանչյուր գույքային միավոր հանդիսացող անշարժ գույքի նկատմամբ գրանցված իրավունքի տեսակի նույնականացման համարը,</w:t>
      </w:r>
    </w:p>
    <w:p>
      <w:pPr/>
      <w:r>
        <w:rPr/>
        <w:t xml:space="preserve">8) վարձակալության, կառուցապատման, ինչպես նաև անհատույց (մշտական) օգտագործման իրավունքով տրամադրված հողամասի կադաստրային ծածկագիրը,</w:t>
      </w:r>
    </w:p>
    <w:p>
      <w:pPr/>
      <w:r>
        <w:rPr/>
        <w:t xml:space="preserve">9) վարձակալության, կառուցապատման, ինչպես նաև անհատույց (մշտական) օգտագործման իրավունքով տրամադրված հողամասի Հայաստանի Հանրապետության հողային օրենսգրքով սահմանված հողային ֆոնդին համապատասխան նպատակային նշանակությունը,</w:t>
      </w:r>
    </w:p>
    <w:p>
      <w:pPr/>
      <w:r>
        <w:rPr/>
        <w:t xml:space="preserve">10) վարձակալության, կառուցապատման, ինչպես նաև անհատույց (մշտական) օգտագործման իրավունքով տրամադրված հողամասի Հայաստանի Հանրապետության հողային օրենսգրքին համապատասխան գործառնական նշանակությունը կամ հողատեսքը,</w:t>
      </w:r>
    </w:p>
    <w:p>
      <w:pPr/>
      <w:r>
        <w:rPr/>
        <w:t xml:space="preserve">11) վարձակալության, կառուցապատման, ինչպես նաև անհատույց (մշտական) օգտագործման իրավունքով տրամադրված հողամասի չափը՝ հեկտարներով,</w:t>
      </w:r>
    </w:p>
    <w:p>
      <w:pPr/>
      <w:r>
        <w:rPr/>
        <w:t xml:space="preserve">12) վարձակալության, կառուցապատման, ինչպես նաև անհատույց (մշտական) օգտագործման իրավունքով տրամադրված շինությունների՝ օրենքին համապատասխան անվանումը՝ ըստ նպատակային նշանակության, մակերեսը՝ արտահայտված քառակուսի մետրով,</w:t>
      </w:r>
    </w:p>
    <w:p>
      <w:pPr/>
      <w:r>
        <w:rPr/>
        <w:t xml:space="preserve">13) վարձակալության, կառուցապատման, ինչպես նաև անհատույց (մշտական) օգտագործման պայմանագիրը նույնականացնող ծածկագիրը,</w:t>
      </w:r>
    </w:p>
    <w:p>
      <w:pPr/>
      <w:r>
        <w:rPr/>
        <w:t xml:space="preserve">14) վարձակալության, կառուցապատման, ինչպես նաև անհատույց (մշտական) օգտագործման իրավունքի պետական գրանցման ամսաթիվը՝ օրը, ամիսը, տարեթիվը (օրինակ՝ 2005 թվականի հուլիսի 15-ի գրանցումը նշվում է` 15.07.2005):</w:t>
      </w:r>
    </w:p>
    <w:p>
      <w:pPr/>
      <w:r>
        <w:rPr/>
        <w:t xml:space="preserve">15) վարձակալների, կառուցապատողների, անհատույց (մշտական) օգտագործողների փոփոխությունների, իրավունքների դադարեցման, նոր վարձակալների, կառուցապատողների, անհատույց (մշտական) օգտագործողների վերաբերյալ տեղեկությունները:</w:t>
      </w:r>
    </w:p>
    <w:p>
      <w:pPr>
        <w:numPr>
          <w:ilvl w:val="0"/>
          <w:numId w:val="23"/>
        </w:numPr>
      </w:pPr>
      <w:r>
        <w:rPr/>
        <w:t xml:space="preserve">Երևան քաղաքի վարչական սահմաններում գտնվող անշարժ գույքի վերաբերյալ տեղեկություններն անշարժ գույքի պետական միասնական կադաստր վարող մարմնի կողմից ներկայացվում են Երևանի համայնքին՝ խմբավորված՝ ըստ անշարժ գույքի գտնվելու վայրի համապատասխան վարչական շրջանների:</w:t>
      </w:r>
    </w:p>
    <w:p>
      <w:pPr/>
      <w:r>
        <w:rPr>
          <w:b w:val="1"/>
          <w:bCs w:val="1"/>
          <w:u w:val="single"/>
        </w:rPr>
        <w:t xml:space="preserve">Ձև N 1</w:t>
      </w:r>
    </w:p>
    <w:p>
      <w:pPr/>
      <w:r>
        <w:rPr/>
        <w:t xml:space="preserve"> </w:t>
      </w:r>
    </w:p>
    <w:tbl>
      <w:tblGrid>
        <w:gridCol w:w="5000" w:type="dxa"/>
        <w:gridCol w:w="4500" w:type="dxa"/>
      </w:tblGrid>
      <w:tblPr>
        <w:tblW w:w="5000" w:type="pct"/>
        <w:tblLayout w:type="autofit"/>
      </w:tblPr>
      <w:tr>
        <w:trPr/>
        <w:tc>
          <w:tcPr>
            <w:tcW w:w="5000" w:type="pct"/>
            <w:noWrap/>
          </w:tcPr>
          <w:p>
            <w:pPr/>
            <w:r>
              <w:rPr>
                <w:b w:val="1"/>
                <w:bCs w:val="1"/>
                <w:u w:val="single"/>
              </w:rPr>
              <w:t xml:space="preserve">Ձևաթղթի դիմային մասը</w:t>
            </w:r>
          </w:p>
        </w:tc>
        <w:tc>
          <w:tcPr>
            <w:tcW w:w="4500" w:type="dxa"/>
            <w:noWrap/>
          </w:tcPr>
          <w:p>
            <w:pPr/>
            <w:r>
              <w:rPr/>
              <w:t xml:space="preserve"> </w:t>
            </w:r>
          </w:p>
        </w:tc>
      </w:tr>
    </w:tbl>
    <w:p>
      <w:pPr/>
      <w:r>
        <w:rPr/>
        <w:t xml:space="preserve"> </w:t>
      </w:r>
    </w:p>
    <w:tbl>
      <w:tblGrid>
        <w:gridCol w:w="4245" w:type="dxa"/>
        <w:gridCol w:w="2895" w:type="dxa"/>
        <w:gridCol w:w="2175" w:type="dxa"/>
      </w:tblGrid>
      <w:tblPr>
        <w:tblW w:w="9375" w:type="dxa"/>
        <w:tblLayout w:type="autofit"/>
      </w:tblPr>
      <w:tr>
        <w:trPr/>
        <w:tc>
          <w:tcPr>
            <w:tcW w:w="4245" w:type="dxa"/>
            <w:noWrap/>
          </w:tcPr>
          <w:p>
            <w:pPr/>
            <w:r>
              <w:rPr/>
              <w:t xml:space="preserve">Մարզը՝</w:t>
            </w:r>
          </w:p>
        </w:tc>
        <w:tc>
          <w:tcPr>
            <w:tcW w:w="2895" w:type="dxa"/>
            <w:noWrap/>
          </w:tcPr>
          <w:tbl>
            <w:tblGrid>
              <w:gridCol w:w="3000" w:type="dxa"/>
            </w:tblGrid>
            <w:tblPr>
              <w:tblW w:w="3000" w:type="dxa"/>
              <w:tblLayout w:type="autofit"/>
            </w:tblPr>
            <w:tr>
              <w:trPr/>
              <w:tc>
                <w:tcPr>
                  <w:tcW w:w="3000" w:type="dxa"/>
                  <w:noWrap/>
                </w:tcPr>
                <w:p>
                  <w:pPr/>
                  <w:r>
                    <w:rPr/>
                    <w:t xml:space="preserve"> </w:t>
                  </w:r>
                </w:p>
              </w:tc>
            </w:tr>
          </w:tbl>
          <w:p>
            <w:pPr/>
            <w:r>
              <w:rPr/>
              <w:t xml:space="preserve">(անվանումը)</w:t>
            </w:r>
          </w:p>
        </w:tc>
        <w:tc>
          <w:tcPr>
            <w:tcW w:w="2175" w:type="dxa"/>
            <w:noWrap/>
          </w:tcPr>
          <w:tbl>
            <w:tblGrid>
              <w:gridCol w:w="2250" w:type="dxa"/>
            </w:tblGrid>
            <w:tblPr>
              <w:tblW w:w="2250" w:type="dxa"/>
              <w:tblLayout w:type="autofit"/>
            </w:tblPr>
            <w:tr>
              <w:trPr/>
              <w:tc>
                <w:tcPr>
                  <w:tcW w:w="2250" w:type="dxa"/>
                  <w:noWrap/>
                </w:tcPr>
                <w:p>
                  <w:pPr/>
                  <w:r>
                    <w:rPr/>
                    <w:t xml:space="preserve"> </w:t>
                  </w:r>
                </w:p>
              </w:tc>
            </w:tr>
          </w:tbl>
          <w:p>
            <w:pPr/>
            <w:r>
              <w:rPr/>
              <w:t xml:space="preserve">(ծածկագիրը)</w:t>
            </w:r>
          </w:p>
        </w:tc>
      </w:tr>
      <w:tr>
        <w:trPr/>
        <w:tc>
          <w:tcPr>
            <w:tcW w:w="4245" w:type="dxa"/>
            <w:noWrap/>
          </w:tcPr>
          <w:p>
            <w:pPr/>
            <w:r>
              <w:rPr/>
              <w:t xml:space="preserve"> </w:t>
            </w:r>
          </w:p>
        </w:tc>
        <w:tc>
          <w:tcPr>
            <w:tcW w:w="2895" w:type="dxa"/>
            <w:noWrap/>
          </w:tcPr>
          <w:p>
            <w:pPr/>
            <w:r>
              <w:rPr/>
              <w:t xml:space="preserve"> </w:t>
            </w:r>
          </w:p>
        </w:tc>
        <w:tc>
          <w:tcPr>
            <w:tcW w:w="2175" w:type="dxa"/>
            <w:noWrap/>
          </w:tcPr>
          <w:p>
            <w:pPr/>
            <w:r>
              <w:rPr/>
              <w:t xml:space="preserve"> </w:t>
            </w:r>
          </w:p>
        </w:tc>
      </w:tr>
      <w:tr>
        <w:trPr/>
        <w:tc>
          <w:tcPr>
            <w:tcW w:w="4245" w:type="dxa"/>
            <w:noWrap/>
          </w:tcPr>
          <w:p>
            <w:pPr/>
            <w:r>
              <w:rPr/>
              <w:t xml:space="preserve">Համայնքը (բնակավայրը, Երևան քաղաքում՝ վարչական շրջանը)՝</w:t>
            </w:r>
          </w:p>
        </w:tc>
        <w:tc>
          <w:tcPr>
            <w:tcW w:w="2895" w:type="dxa"/>
            <w:noWrap/>
          </w:tcPr>
          <w:tbl>
            <w:tblGrid>
              <w:gridCol w:w="3000" w:type="dxa"/>
            </w:tblGrid>
            <w:tblPr>
              <w:tblW w:w="3000" w:type="dxa"/>
              <w:tblLayout w:type="autofit"/>
            </w:tblPr>
            <w:tr>
              <w:trPr/>
              <w:tc>
                <w:tcPr>
                  <w:tcW w:w="3000" w:type="dxa"/>
                  <w:noWrap/>
                </w:tcPr>
                <w:p>
                  <w:pPr/>
                  <w:r>
                    <w:rPr/>
                    <w:t xml:space="preserve"> </w:t>
                  </w:r>
                </w:p>
              </w:tc>
            </w:tr>
          </w:tbl>
          <w:p>
            <w:pPr/>
            <w:r>
              <w:rPr/>
              <w:t xml:space="preserve">(անվանումը)</w:t>
            </w:r>
          </w:p>
        </w:tc>
        <w:tc>
          <w:tcPr>
            <w:tcW w:w="2175" w:type="dxa"/>
            <w:noWrap/>
          </w:tcPr>
          <w:tbl>
            <w:tblGrid>
              <w:gridCol w:w="2250" w:type="dxa"/>
            </w:tblGrid>
            <w:tblPr>
              <w:tblW w:w="2250" w:type="dxa"/>
              <w:tblLayout w:type="autofit"/>
            </w:tblPr>
            <w:tr>
              <w:trPr/>
              <w:tc>
                <w:tcPr>
                  <w:tcW w:w="2250" w:type="dxa"/>
                  <w:noWrap/>
                </w:tcPr>
                <w:p>
                  <w:pPr/>
                  <w:r>
                    <w:rPr/>
                    <w:t xml:space="preserve"> </w:t>
                  </w:r>
                </w:p>
              </w:tc>
            </w:tr>
          </w:tbl>
          <w:p>
            <w:pPr/>
            <w:r>
              <w:rPr/>
              <w:t xml:space="preserve">(ծածկագիրը)</w:t>
            </w:r>
          </w:p>
        </w:tc>
      </w:tr>
    </w:tbl>
    <w:p>
      <w:pPr/>
      <w:r>
        <w:rPr/>
        <w:t xml:space="preserve"> </w:t>
      </w:r>
    </w:p>
    <w:tbl>
      <w:tblGrid>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Գնահատումը՝</w:t>
            </w:r>
          </w:p>
        </w:tc>
        <w:tc>
          <w:tcPr>
            <w:tcW w:w="9750" w:type="dxa"/>
            <w:noWrap/>
          </w:tcPr>
          <w:p>
            <w:pPr/>
            <w:r>
              <w:rPr/>
              <w:t xml:space="preserve"> </w:t>
            </w:r>
          </w:p>
        </w:tc>
        <w:tc>
          <w:tcPr>
            <w:tcW w:w="9750" w:type="dxa"/>
            <w:noWrap/>
          </w:tcPr>
          <w:tbl>
            <w:tblGrid>
              <w:gridCol w:w="2250" w:type="dxa"/>
            </w:tblGrid>
            <w:tblPr>
              <w:tblW w:w="2250" w:type="dxa"/>
              <w:tblLayout w:type="autofit"/>
            </w:tblPr>
            <w:tr>
              <w:trPr/>
              <w:tc>
                <w:tcPr>
                  <w:tcW w:w="2250" w:type="dxa"/>
                  <w:noWrap/>
                </w:tcPr>
                <w:p>
                  <w:pPr/>
                  <w:r>
                    <w:rPr/>
                    <w:t xml:space="preserve"> </w:t>
                  </w:r>
                </w:p>
              </w:tc>
            </w:tr>
          </w:tbl>
          <w:p>
            <w:pPr/>
            <w:r>
              <w:rPr/>
              <w:t xml:space="preserve">(օրը, ամիսը, տարեթիվը)</w:t>
            </w:r>
          </w:p>
        </w:tc>
        <w:tc>
          <w:tcPr>
            <w:tcW w:w="9750" w:type="dxa"/>
            <w:noWrap/>
          </w:tcPr>
          <w:p>
            <w:pPr/>
            <w:r>
              <w:rPr/>
              <w:t xml:space="preserve"> </w:t>
            </w:r>
          </w:p>
        </w:tc>
        <w:tc>
          <w:tcPr>
            <w:tcW w:w="9750" w:type="dxa"/>
            <w:noWrap/>
          </w:tcPr>
          <w:p>
            <w:pPr/>
            <w:r>
              <w:rPr/>
              <w:t xml:space="preserve">դրությամբ</w:t>
            </w:r>
          </w:p>
        </w:tc>
      </w:tr>
    </w:tbl>
    <w:p>
      <w:pPr/>
      <w:r>
        <w:rPr/>
        <w:t xml:space="preserve"> </w:t>
      </w:r>
      <w:r>
        <w:rPr>
          <w:b w:val="1"/>
          <w:bCs w:val="1"/>
        </w:rPr>
        <w:t xml:space="preserve">ԱՄՓՈՓ ՏԵՂԵԿՈՒԹՅՈՒՆՆԵՐ</w:t>
      </w:r>
    </w:p>
    <w:p>
      <w:pPr/>
      <w:r>
        <w:rPr/>
        <w:t xml:space="preserve"> </w:t>
      </w:r>
    </w:p>
    <w:p>
      <w:pPr/>
      <w:r>
        <w:rPr/>
        <w:t xml:space="preserve"> </w:t>
      </w:r>
    </w:p>
    <w:p>
      <w:pPr/>
      <w:r>
        <w:rPr>
          <w:b w:val="1"/>
          <w:bCs w:val="1"/>
        </w:rPr>
        <w:t xml:space="preserve">ԱՆՇԱՐԺ ԳՈՒՅՔԻ ՀԱՐԿՈՎ ՀԱՐԿՄԱՆ ՕԲՅԵԿՏ ՀԱՄԱՐՎՈՂ ԱՆՇԱՐԺ ԳՈՒՅՔԻ ՈՒ ԴՐԱՆՑ ԳՆԱՀԱՏՈՒՄՆԵՐԻ (ՎԵՐԱԳՆԱՀԱՏՈՒՄՆԵՐԻ) ՎԵՐԱԲԵՐՅԱԼ</w:t>
      </w:r>
    </w:p>
    <w:p>
      <w:pPr/>
      <w:r>
        <w:rPr/>
        <w:t xml:space="preserve"> </w:t>
      </w:r>
    </w:p>
    <w:p>
      <w:pPr/>
      <w:r>
        <w:rPr/>
        <w:t xml:space="preserve"> </w:t>
      </w:r>
    </w:p>
    <w:tbl>
      <w:tblGrid>
        <w:gridCol w:w="100" w:type="dxa"/>
        <w:gridCol w:w="400" w:type="dxa"/>
        <w:gridCol w:w="300" w:type="dxa"/>
        <w:gridCol w:w="250" w:type="dxa"/>
        <w:gridCol w:w="400" w:type="dxa"/>
        <w:gridCol w:w="350" w:type="dxa"/>
        <w:gridCol w:w="300" w:type="dxa"/>
        <w:gridCol w:w="450" w:type="dxa"/>
        <w:gridCol w:w="400" w:type="dxa"/>
        <w:gridCol w:w="400" w:type="dxa"/>
        <w:gridCol w:w="400" w:type="dxa"/>
        <w:gridCol w:w="450" w:type="dxa"/>
        <w:gridCol w:w="450" w:type="dxa"/>
      </w:tblGrid>
      <w:tblPr>
        <w:tblW w:w="5000" w:type="pct"/>
        <w:tblLayout w:type="autofit"/>
      </w:tblPr>
      <w:tr>
        <w:trPr/>
        <w:tc>
          <w:tcPr>
            <w:tcW w:w="100" w:type="pct"/>
            <w:noWrap/>
          </w:tcPr>
          <w:p>
            <w:pPr/>
            <w:r>
              <w:rPr/>
              <w:t xml:space="preserve">հ/հ</w:t>
            </w:r>
          </w:p>
        </w:tc>
        <w:tc>
          <w:tcPr>
            <w:tcW w:w="400" w:type="pct"/>
            <w:noWrap/>
          </w:tcPr>
          <w:p>
            <w:pPr/>
            <w:r>
              <w:rPr/>
              <w:t xml:space="preserve">Արխի-վային ծածկա-գիր</w:t>
            </w:r>
          </w:p>
        </w:tc>
        <w:tc>
          <w:tcPr>
            <w:tcW w:w="300" w:type="pct"/>
            <w:noWrap/>
          </w:tcPr>
          <w:p>
            <w:pPr/>
            <w:r>
              <w:rPr/>
              <w:t xml:space="preserve">Միա-վորի բանա-լի</w:t>
            </w:r>
          </w:p>
        </w:tc>
        <w:tc>
          <w:tcPr>
            <w:tcW w:w="4100" w:type="pct"/>
            <w:gridSpan w:val="10"/>
            <w:noWrap/>
          </w:tcPr>
          <w:p>
            <w:pPr/>
            <w:r>
              <w:rPr/>
              <w:t xml:space="preserve">Անշարժ գույքի սեփականատիրոջ (համասեփականատիրոջ) կամ պետական սեփականություն հանդիսացող հողի մշտական օգտագործողի կամ լիզինգառուի (լիզինգառուների)՝</w:t>
            </w:r>
          </w:p>
        </w:tc>
      </w:tr>
      <w:tr>
        <w:trPr/>
        <w:tc>
          <w:tcPr>
            <w:tcW w:w="1800" w:type="pct"/>
            <w:gridSpan w:val="5"/>
            <w:noWrap/>
          </w:tcPr>
          <w:p>
            <w:pPr/>
            <w:r>
              <w:rPr/>
              <w:t xml:space="preserve">Ֆիզիկական անձի հաշվառման (գրանցման) կամ կազմակերպության գտնվելու վայրի հասցեն</w:t>
            </w:r>
          </w:p>
        </w:tc>
        <w:tc>
          <w:tcPr>
            <w:tcW w:w="400" w:type="pct"/>
            <w:noWrap/>
          </w:tcPr>
          <w:p>
            <w:pPr/>
            <w:r>
              <w:rPr/>
              <w:t xml:space="preserve">Ֆիզիկական անձի ազգան-</w:t>
            </w:r>
          </w:p>
          <w:p>
            <w:pPr/>
            <w:r>
              <w:rPr/>
              <w:t xml:space="preserve">ունը կամ կազմա-կերպության անվան-</w:t>
            </w:r>
          </w:p>
          <w:p>
            <w:pPr/>
            <w:r>
              <w:rPr/>
              <w:t xml:space="preserve">ումը</w:t>
            </w:r>
          </w:p>
        </w:tc>
        <w:tc>
          <w:tcPr>
            <w:tcW w:w="400" w:type="pct"/>
            <w:noWrap/>
          </w:tcPr>
          <w:p>
            <w:pPr/>
            <w:r>
              <w:rPr/>
              <w:t xml:space="preserve">Ֆիզիկական անձի անունը</w:t>
            </w:r>
          </w:p>
        </w:tc>
        <w:tc>
          <w:tcPr>
            <w:tcW w:w="400" w:type="pct"/>
            <w:noWrap/>
          </w:tcPr>
          <w:p>
            <w:pPr/>
            <w:r>
              <w:rPr/>
              <w:t xml:space="preserve">Ֆիզիկական անձի հայրանունը</w:t>
            </w:r>
          </w:p>
        </w:tc>
        <w:tc>
          <w:tcPr>
            <w:tcW w:w="450" w:type="pct"/>
            <w:noWrap/>
          </w:tcPr>
          <w:p>
            <w:pPr/>
            <w:r>
              <w:rPr/>
              <w:t xml:space="preserve">Ֆիզիկական անձի անձը հաստատող փաստաթղթի տվյալները կամ կազմա-կերպութ-</w:t>
            </w:r>
          </w:p>
          <w:p>
            <w:pPr/>
            <w:r>
              <w:rPr/>
              <w:t xml:space="preserve">յան պետական ռեգիստրում գրանցման համարը</w:t>
            </w:r>
          </w:p>
        </w:tc>
        <w:tc>
          <w:tcPr>
            <w:tcW w:w="450" w:type="pct"/>
            <w:noWrap/>
          </w:tcPr>
          <w:p>
            <w:pPr/>
            <w:r>
              <w:rPr/>
              <w:t xml:space="preserve">Ֆիզիկական անձի հանրա-</w:t>
            </w:r>
          </w:p>
          <w:p>
            <w:pPr/>
            <w:r>
              <w:rPr/>
              <w:t xml:space="preserve">յին ծառայութ-</w:t>
            </w:r>
          </w:p>
          <w:p>
            <w:pPr/>
            <w:r>
              <w:rPr/>
              <w:t xml:space="preserve">յան համարա-</w:t>
            </w:r>
          </w:p>
          <w:p>
            <w:pPr/>
            <w:r>
              <w:rPr/>
              <w:t xml:space="preserve">նիշը կամ կազմա-</w:t>
            </w:r>
          </w:p>
          <w:p>
            <w:pPr/>
            <w:r>
              <w:rPr/>
              <w:t xml:space="preserve">կերպության ՀՎՀՀ-ն</w:t>
            </w:r>
          </w:p>
        </w:tc>
      </w:tr>
      <w:tr>
        <w:trPr/>
        <w:tc>
          <w:tcPr>
            <w:tcW w:w="250" w:type="pct"/>
            <w:noWrap/>
          </w:tcPr>
          <w:p>
            <w:pPr/>
            <w:r>
              <w:rPr/>
              <w:t xml:space="preserve">Մար-զը</w:t>
            </w:r>
          </w:p>
        </w:tc>
        <w:tc>
          <w:tcPr>
            <w:tcW w:w="400" w:type="pct"/>
            <w:noWrap/>
          </w:tcPr>
          <w:p>
            <w:pPr/>
            <w:r>
              <w:rPr/>
              <w:t xml:space="preserve">Համայն-քը</w:t>
            </w:r>
            <w:br/>
            <w:r>
              <w:rPr/>
              <w:t xml:space="preserve"> /վարչա-կան շրջանը/</w:t>
            </w:r>
          </w:p>
        </w:tc>
        <w:tc>
          <w:tcPr>
            <w:tcW w:w="350" w:type="pct"/>
            <w:noWrap/>
          </w:tcPr>
          <w:p>
            <w:pPr/>
            <w:r>
              <w:rPr/>
              <w:t xml:space="preserve">Փողոցը, նրբ-անցքը, փակ-ուղին և այլն</w:t>
            </w:r>
          </w:p>
        </w:tc>
        <w:tc>
          <w:tcPr>
            <w:tcW w:w="300" w:type="pct"/>
            <w:noWrap/>
          </w:tcPr>
          <w:p>
            <w:pPr/>
            <w:r>
              <w:rPr/>
              <w:t xml:space="preserve">Շենքը</w:t>
            </w:r>
            <w:br/>
            <w:r>
              <w:rPr/>
              <w:t xml:space="preserve"> /տունը (համարը)</w:t>
            </w:r>
          </w:p>
        </w:tc>
        <w:tc>
          <w:tcPr>
            <w:tcW w:w="450" w:type="pct"/>
            <w:noWrap/>
          </w:tcPr>
          <w:p>
            <w:pPr/>
            <w:r>
              <w:rPr/>
              <w:t xml:space="preserve">Բնակարանը (համարը)</w:t>
            </w:r>
          </w:p>
        </w:tc>
      </w:tr>
      <w:tr>
        <w:trPr/>
        <w:tc>
          <w:tcPr>
            <w:tcW w:w="100" w:type="pct"/>
            <w:noWrap/>
          </w:tcPr>
          <w:p>
            <w:pPr/>
            <w:r>
              <w:rPr/>
              <w:t xml:space="preserve">1</w:t>
            </w:r>
          </w:p>
        </w:tc>
        <w:tc>
          <w:tcPr>
            <w:tcW w:w="400" w:type="pct"/>
            <w:noWrap/>
          </w:tcPr>
          <w:p>
            <w:pPr/>
            <w:r>
              <w:rPr/>
              <w:t xml:space="preserve">2</w:t>
            </w:r>
          </w:p>
        </w:tc>
        <w:tc>
          <w:tcPr>
            <w:tcW w:w="300" w:type="pct"/>
            <w:noWrap/>
          </w:tcPr>
          <w:p>
            <w:pPr/>
            <w:r>
              <w:rPr/>
              <w:t xml:space="preserve">3</w:t>
            </w:r>
          </w:p>
        </w:tc>
        <w:tc>
          <w:tcPr>
            <w:tcW w:w="250" w:type="pct"/>
            <w:noWrap/>
          </w:tcPr>
          <w:p>
            <w:pPr/>
            <w:r>
              <w:rPr/>
              <w:t xml:space="preserve">4</w:t>
            </w:r>
          </w:p>
        </w:tc>
        <w:tc>
          <w:tcPr>
            <w:tcW w:w="400" w:type="pct"/>
            <w:noWrap/>
          </w:tcPr>
          <w:p>
            <w:pPr/>
            <w:r>
              <w:rPr/>
              <w:t xml:space="preserve">5</w:t>
            </w:r>
          </w:p>
        </w:tc>
        <w:tc>
          <w:tcPr>
            <w:tcW w:w="350" w:type="pct"/>
            <w:noWrap/>
          </w:tcPr>
          <w:p>
            <w:pPr/>
            <w:r>
              <w:rPr/>
              <w:t xml:space="preserve">6</w:t>
            </w:r>
          </w:p>
        </w:tc>
        <w:tc>
          <w:tcPr>
            <w:tcW w:w="300" w:type="pct"/>
            <w:noWrap/>
          </w:tcPr>
          <w:p>
            <w:pPr/>
            <w:r>
              <w:rPr/>
              <w:t xml:space="preserve">7</w:t>
            </w:r>
          </w:p>
        </w:tc>
        <w:tc>
          <w:tcPr>
            <w:tcW w:w="450" w:type="pct"/>
            <w:noWrap/>
          </w:tcPr>
          <w:p>
            <w:pPr/>
            <w:r>
              <w:rPr/>
              <w:t xml:space="preserve">8</w:t>
            </w:r>
          </w:p>
        </w:tc>
        <w:tc>
          <w:tcPr>
            <w:tcW w:w="400" w:type="pct"/>
            <w:noWrap/>
          </w:tcPr>
          <w:p>
            <w:pPr/>
            <w:r>
              <w:rPr/>
              <w:t xml:space="preserve">9</w:t>
            </w:r>
          </w:p>
        </w:tc>
        <w:tc>
          <w:tcPr>
            <w:tcW w:w="400" w:type="pct"/>
            <w:noWrap/>
          </w:tcPr>
          <w:p>
            <w:pPr/>
            <w:r>
              <w:rPr/>
              <w:t xml:space="preserve">10</w:t>
            </w:r>
          </w:p>
        </w:tc>
        <w:tc>
          <w:tcPr>
            <w:tcW w:w="400" w:type="pct"/>
            <w:noWrap/>
          </w:tcPr>
          <w:p>
            <w:pPr/>
            <w:r>
              <w:rPr/>
              <w:t xml:space="preserve">11</w:t>
            </w:r>
          </w:p>
        </w:tc>
        <w:tc>
          <w:tcPr>
            <w:tcW w:w="450" w:type="pct"/>
            <w:noWrap/>
          </w:tcPr>
          <w:p>
            <w:pPr/>
            <w:r>
              <w:rPr/>
              <w:t xml:space="preserve">12</w:t>
            </w:r>
          </w:p>
        </w:tc>
        <w:tc>
          <w:tcPr>
            <w:tcW w:w="450" w:type="pct"/>
            <w:noWrap/>
          </w:tcPr>
          <w:p>
            <w:pPr/>
            <w:r>
              <w:rPr/>
              <w:t xml:space="preserve">13</w:t>
            </w:r>
          </w:p>
        </w:tc>
      </w:tr>
      <w:tr>
        <w:trPr/>
        <w:tc>
          <w:tcPr>
            <w:tcW w:w="100" w:type="pct"/>
            <w:noWrap/>
          </w:tcPr>
          <w:p>
            <w:pPr/>
            <w:r>
              <w:rPr/>
              <w:t xml:space="preserve">1</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350" w:type="pct"/>
            <w:noWrap/>
          </w:tcPr>
          <w:p>
            <w:pPr/>
            <w:r>
              <w:rPr/>
              <w:t xml:space="preserve"> </w:t>
            </w:r>
          </w:p>
        </w:tc>
        <w:tc>
          <w:tcPr>
            <w:tcW w:w="300" w:type="pct"/>
            <w:noWrap/>
          </w:tcPr>
          <w:p>
            <w:pPr/>
            <w:r>
              <w:rPr/>
              <w:t xml:space="preserve"> </w:t>
            </w:r>
          </w:p>
        </w:tc>
        <w:tc>
          <w:tcPr>
            <w:tcW w:w="4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50" w:type="pct"/>
            <w:noWrap/>
          </w:tcPr>
          <w:p>
            <w:pPr/>
            <w:r>
              <w:rPr/>
              <w:t xml:space="preserve"> </w:t>
            </w:r>
          </w:p>
        </w:tc>
        <w:tc>
          <w:tcPr>
            <w:tcW w:w="450" w:type="pct"/>
            <w:noWrap/>
          </w:tcPr>
          <w:p>
            <w:pPr/>
            <w:r>
              <w:rPr/>
              <w:t xml:space="preserve"> </w:t>
            </w:r>
          </w:p>
        </w:tc>
      </w:tr>
      <w:tr>
        <w:trPr/>
        <w:tc>
          <w:tcPr>
            <w:tcW w:w="100" w:type="pct"/>
            <w:noWrap/>
          </w:tcPr>
          <w:p>
            <w:pPr/>
            <w:r>
              <w:rPr/>
              <w:t xml:space="preserve">2</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350" w:type="pct"/>
            <w:noWrap/>
          </w:tcPr>
          <w:p>
            <w:pPr/>
            <w:r>
              <w:rPr/>
              <w:t xml:space="preserve"> </w:t>
            </w:r>
          </w:p>
        </w:tc>
        <w:tc>
          <w:tcPr>
            <w:tcW w:w="300" w:type="pct"/>
            <w:noWrap/>
          </w:tcPr>
          <w:p>
            <w:pPr/>
            <w:r>
              <w:rPr/>
              <w:t xml:space="preserve"> </w:t>
            </w:r>
          </w:p>
        </w:tc>
        <w:tc>
          <w:tcPr>
            <w:tcW w:w="4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50" w:type="pct"/>
            <w:noWrap/>
          </w:tcPr>
          <w:p>
            <w:pPr/>
            <w:r>
              <w:rPr/>
              <w:t xml:space="preserve"> </w:t>
            </w:r>
          </w:p>
        </w:tc>
        <w:tc>
          <w:tcPr>
            <w:tcW w:w="450" w:type="pct"/>
            <w:noWrap/>
          </w:tcPr>
          <w:p>
            <w:pPr/>
            <w:r>
              <w:rPr/>
              <w:t xml:space="preserve"> </w:t>
            </w:r>
          </w:p>
        </w:tc>
      </w:tr>
      <w:tr>
        <w:trPr/>
        <w:tc>
          <w:tcPr>
            <w:tcW w:w="100" w:type="pct"/>
            <w:noWrap/>
          </w:tcPr>
          <w:p>
            <w:pPr/>
            <w:r>
              <w:rPr/>
              <w:t xml:space="preserve">3</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350" w:type="pct"/>
            <w:noWrap/>
          </w:tcPr>
          <w:p>
            <w:pPr/>
            <w:r>
              <w:rPr/>
              <w:t xml:space="preserve"> </w:t>
            </w:r>
          </w:p>
        </w:tc>
        <w:tc>
          <w:tcPr>
            <w:tcW w:w="300" w:type="pct"/>
            <w:noWrap/>
          </w:tcPr>
          <w:p>
            <w:pPr/>
            <w:r>
              <w:rPr/>
              <w:t xml:space="preserve"> </w:t>
            </w:r>
          </w:p>
        </w:tc>
        <w:tc>
          <w:tcPr>
            <w:tcW w:w="4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50" w:type="pct"/>
            <w:noWrap/>
          </w:tcPr>
          <w:p>
            <w:pPr/>
            <w:r>
              <w:rPr/>
              <w:t xml:space="preserve"> </w:t>
            </w:r>
          </w:p>
        </w:tc>
        <w:tc>
          <w:tcPr>
            <w:tcW w:w="450" w:type="pct"/>
            <w:noWrap/>
          </w:tcPr>
          <w:p>
            <w:pPr/>
            <w:r>
              <w:rPr/>
              <w:t xml:space="preserve"> </w:t>
            </w:r>
          </w:p>
        </w:tc>
      </w:tr>
    </w:tbl>
    <w:p>
      <w:pPr/>
      <w:r>
        <w:rPr/>
        <w:t xml:space="preserve"> </w:t>
      </w:r>
    </w:p>
    <w:tbl>
      <w:tblGrid>
        <w:gridCol w:w="550" w:type="dxa"/>
        <w:gridCol w:w="450" w:type="dxa"/>
        <w:gridCol w:w="450" w:type="dxa"/>
        <w:gridCol w:w="400" w:type="dxa"/>
        <w:gridCol w:w="350" w:type="dxa"/>
        <w:gridCol w:w="350" w:type="dxa"/>
        <w:gridCol w:w="450" w:type="dxa"/>
        <w:gridCol w:w="500" w:type="dxa"/>
        <w:gridCol w:w="500" w:type="dxa"/>
        <w:gridCol w:w="400" w:type="dxa"/>
        <w:gridCol w:w="400" w:type="dxa"/>
        <w:gridCol w:w="0" w:type="dxa"/>
      </w:tblGrid>
      <w:tblPr>
        <w:tblW w:w="5000" w:type="pct"/>
        <w:tblLayout w:type="autofit"/>
      </w:tblPr>
      <w:tr>
        <w:trPr/>
        <w:tc>
          <w:tcPr>
            <w:tcW w:w="1500" w:type="pct"/>
            <w:gridSpan w:val="3"/>
            <w:noWrap/>
          </w:tcPr>
          <w:p>
            <w:pPr/>
            <w:r>
              <w:rPr/>
              <w:t xml:space="preserve">Անշարժ գույքի գտնվելու վայրի հասցեն</w:t>
            </w:r>
          </w:p>
        </w:tc>
        <w:tc>
          <w:tcPr>
            <w:tcW w:w="3500" w:type="pct"/>
            <w:gridSpan w:val="8"/>
            <w:noWrap/>
          </w:tcPr>
          <w:p>
            <w:pPr/>
            <w:r>
              <w:rPr/>
              <w:t xml:space="preserve">Հողամասի տվյալները՝</w:t>
            </w:r>
          </w:p>
        </w:tc>
        <w:tc>
          <w:tcPr>
            <w:tcW w:w="0" w:type="dxa"/>
            <w:noWrap/>
          </w:tcPr>
          <w:p>
            <w:pPr/>
            <w:r>
              <w:rPr/>
              <w:t xml:space="preserve"> </w:t>
            </w:r>
          </w:p>
        </w:tc>
      </w:tr>
      <w:tr>
        <w:trPr/>
        <w:tc>
          <w:tcPr>
            <w:tcW w:w="550" w:type="pct"/>
            <w:noWrap/>
          </w:tcPr>
          <w:p>
            <w:pPr/>
            <w:r>
              <w:rPr/>
              <w:t xml:space="preserve">Փողոցը, նրբ-անցքը, փակ-ուղին և այլն</w:t>
            </w:r>
          </w:p>
        </w:tc>
        <w:tc>
          <w:tcPr>
            <w:tcW w:w="450" w:type="pct"/>
            <w:noWrap/>
          </w:tcPr>
          <w:p>
            <w:pPr/>
            <w:r>
              <w:rPr/>
              <w:t xml:space="preserve">Շենքը/</w:t>
            </w:r>
          </w:p>
          <w:p>
            <w:pPr/>
            <w:r>
              <w:rPr/>
              <w:t xml:space="preserve">տունը (համարը)</w:t>
            </w:r>
          </w:p>
        </w:tc>
        <w:tc>
          <w:tcPr>
            <w:tcW w:w="450" w:type="pct"/>
            <w:noWrap/>
          </w:tcPr>
          <w:p>
            <w:pPr/>
            <w:r>
              <w:rPr/>
              <w:t xml:space="preserve">Շինութ-</w:t>
            </w:r>
          </w:p>
          <w:p>
            <w:pPr/>
            <w:r>
              <w:rPr/>
              <w:t xml:space="preserve">յունը, բնակա-րանը (համարը)</w:t>
            </w:r>
          </w:p>
        </w:tc>
        <w:tc>
          <w:tcPr>
            <w:tcW w:w="400" w:type="pct"/>
            <w:noWrap/>
          </w:tcPr>
          <w:p>
            <w:pPr/>
            <w:r>
              <w:rPr/>
              <w:t xml:space="preserve">Կադաս-տրային ծածկագիրը</w:t>
            </w:r>
          </w:p>
        </w:tc>
        <w:tc>
          <w:tcPr>
            <w:tcW w:w="350" w:type="pct"/>
            <w:noWrap/>
          </w:tcPr>
          <w:p>
            <w:pPr/>
            <w:r>
              <w:rPr/>
              <w:t xml:space="preserve">Նպատակա-</w:t>
            </w:r>
          </w:p>
          <w:p>
            <w:pPr/>
            <w:r>
              <w:rPr/>
              <w:t xml:space="preserve">յին նշանակությունը</w:t>
            </w:r>
          </w:p>
        </w:tc>
        <w:tc>
          <w:tcPr>
            <w:tcW w:w="350" w:type="pct"/>
            <w:noWrap/>
          </w:tcPr>
          <w:p>
            <w:pPr/>
            <w:r>
              <w:rPr/>
              <w:t xml:space="preserve">Գործառնական նշանա-կությունը կամ հողատեսքը</w:t>
            </w:r>
          </w:p>
        </w:tc>
        <w:tc>
          <w:tcPr>
            <w:tcW w:w="450" w:type="pct"/>
            <w:noWrap/>
          </w:tcPr>
          <w:p>
            <w:pPr/>
            <w:r>
              <w:rPr/>
              <w:t xml:space="preserve">Հողակա-դաստրային գնահատման շրջանը</w:t>
            </w:r>
          </w:p>
        </w:tc>
        <w:tc>
          <w:tcPr>
            <w:tcW w:w="500" w:type="pct"/>
            <w:noWrap/>
          </w:tcPr>
          <w:p>
            <w:pPr/>
            <w:r>
              <w:rPr/>
              <w:t xml:space="preserve">Գյուղա-տնտեսական նշանա-կության հողատեսքի գնահատման խումբը</w:t>
            </w:r>
          </w:p>
        </w:tc>
        <w:tc>
          <w:tcPr>
            <w:tcW w:w="500" w:type="pct"/>
            <w:noWrap/>
          </w:tcPr>
          <w:p>
            <w:pPr/>
            <w:r>
              <w:rPr/>
              <w:t xml:space="preserve">Ոչ գյուղա-տնտեսական նշանա-կության հողամա-</w:t>
            </w:r>
          </w:p>
          <w:p>
            <w:pPr/>
            <w:r>
              <w:rPr/>
              <w:t xml:space="preserve">սի տարածա-գնահատման (գտնվելու վայրի) գոտին</w:t>
            </w:r>
          </w:p>
        </w:tc>
        <w:tc>
          <w:tcPr>
            <w:tcW w:w="400" w:type="pct"/>
            <w:noWrap/>
          </w:tcPr>
          <w:p>
            <w:pPr/>
            <w:r>
              <w:rPr/>
              <w:t xml:space="preserve">Գնահատ-</w:t>
            </w:r>
          </w:p>
          <w:p>
            <w:pPr/>
            <w:r>
              <w:rPr/>
              <w:t xml:space="preserve">վող հողամասի և ան-</w:t>
            </w:r>
          </w:p>
          <w:p>
            <w:pPr/>
            <w:r>
              <w:rPr/>
              <w:t xml:space="preserve">շարժ գույքի չափը՝ (հեկտար)</w:t>
            </w:r>
          </w:p>
        </w:tc>
        <w:tc>
          <w:tcPr>
            <w:tcW w:w="400" w:type="pct"/>
            <w:noWrap/>
          </w:tcPr>
          <w:p>
            <w:pPr/>
            <w:r>
              <w:rPr/>
              <w:t xml:space="preserve">Կարգա-վիճակը</w:t>
            </w:r>
          </w:p>
        </w:tc>
        <w:tc>
          <w:tcPr>
            <w:tcW w:w="0" w:type="dxa"/>
            <w:noWrap/>
          </w:tcPr>
          <w:p>
            <w:pPr/>
            <w:r>
              <w:rPr/>
              <w:t xml:space="preserve"> </w:t>
            </w:r>
          </w:p>
        </w:tc>
      </w:tr>
      <w:tr>
        <w:trPr/>
        <w:tc>
          <w:tcPr>
            <w:tcW w:w="0" w:type="dxa"/>
            <w:noWrap/>
          </w:tcPr>
          <w:p>
            <w:pPr/>
            <w:r>
              <w:rPr/>
              <w:t xml:space="preserve"> </w:t>
            </w:r>
          </w:p>
        </w:tc>
      </w:tr>
      <w:tr>
        <w:trPr/>
        <w:tc>
          <w:tcPr>
            <w:tcW w:w="550" w:type="pct"/>
            <w:noWrap/>
          </w:tcPr>
          <w:p>
            <w:pPr/>
            <w:r>
              <w:rPr/>
              <w:t xml:space="preserve">14</w:t>
            </w:r>
          </w:p>
        </w:tc>
        <w:tc>
          <w:tcPr>
            <w:tcW w:w="450" w:type="pct"/>
            <w:noWrap/>
          </w:tcPr>
          <w:p>
            <w:pPr/>
            <w:r>
              <w:rPr/>
              <w:t xml:space="preserve">15</w:t>
            </w:r>
          </w:p>
        </w:tc>
        <w:tc>
          <w:tcPr>
            <w:tcW w:w="450" w:type="pct"/>
            <w:noWrap/>
          </w:tcPr>
          <w:p>
            <w:pPr/>
            <w:r>
              <w:rPr/>
              <w:t xml:space="preserve">16</w:t>
            </w:r>
          </w:p>
        </w:tc>
        <w:tc>
          <w:tcPr>
            <w:tcW w:w="40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450" w:type="pct"/>
            <w:noWrap/>
          </w:tcPr>
          <w:p>
            <w:pPr/>
            <w:r>
              <w:rPr/>
              <w:t xml:space="preserve">20</w:t>
            </w:r>
          </w:p>
        </w:tc>
        <w:tc>
          <w:tcPr>
            <w:tcW w:w="500" w:type="pct"/>
            <w:noWrap/>
          </w:tcPr>
          <w:p>
            <w:pPr/>
            <w:r>
              <w:rPr/>
              <w:t xml:space="preserve">21</w:t>
            </w:r>
          </w:p>
        </w:tc>
        <w:tc>
          <w:tcPr>
            <w:tcW w:w="500" w:type="pct"/>
            <w:noWrap/>
          </w:tcPr>
          <w:p>
            <w:pPr/>
            <w:r>
              <w:rPr/>
              <w:t xml:space="preserve">22</w:t>
            </w:r>
          </w:p>
        </w:tc>
        <w:tc>
          <w:tcPr>
            <w:tcW w:w="400" w:type="pct"/>
            <w:noWrap/>
          </w:tcPr>
          <w:p>
            <w:pPr/>
            <w:r>
              <w:rPr/>
              <w:t xml:space="preserve">23</w:t>
            </w:r>
          </w:p>
        </w:tc>
        <w:tc>
          <w:tcPr>
            <w:tcW w:w="400" w:type="pct"/>
            <w:noWrap/>
          </w:tcPr>
          <w:p>
            <w:pPr/>
            <w:r>
              <w:rPr/>
              <w:t xml:space="preserve">24</w:t>
            </w:r>
          </w:p>
        </w:tc>
        <w:tc>
          <w:tcPr>
            <w:tcW w:w="0" w:type="dxa"/>
            <w:noWrap/>
          </w:tcPr>
          <w:p>
            <w:pPr/>
            <w:r>
              <w:rPr/>
              <w:t xml:space="preserve"> </w:t>
            </w:r>
          </w:p>
        </w:tc>
      </w:tr>
      <w:tr>
        <w:trPr/>
        <w:tc>
          <w:tcPr>
            <w:tcW w:w="550" w:type="pct"/>
            <w:noWrap/>
          </w:tcPr>
          <w:p>
            <w:pPr/>
            <w:r>
              <w:rPr/>
              <w:t xml:space="preserve"> </w:t>
            </w:r>
          </w:p>
        </w:tc>
        <w:tc>
          <w:tcPr>
            <w:tcW w:w="450" w:type="pct"/>
            <w:noWrap/>
          </w:tcPr>
          <w:p>
            <w:pPr/>
            <w:r>
              <w:rPr/>
              <w:t xml:space="preserve"> </w:t>
            </w:r>
          </w:p>
        </w:tc>
        <w:tc>
          <w:tcPr>
            <w:tcW w:w="450" w:type="pct"/>
            <w:noWrap/>
          </w:tcPr>
          <w:p>
            <w:pPr/>
            <w:r>
              <w:rPr/>
              <w:t xml:space="preserve"> </w:t>
            </w:r>
          </w:p>
        </w:tc>
        <w:tc>
          <w:tcPr>
            <w:tcW w:w="400" w:type="pct"/>
            <w:noWrap/>
          </w:tcPr>
          <w:p>
            <w:pPr/>
            <w:r>
              <w:rPr/>
              <w:t xml:space="preserve"> </w:t>
            </w:r>
          </w:p>
        </w:tc>
        <w:tc>
          <w:tcPr>
            <w:tcW w:w="350" w:type="pct"/>
            <w:noWrap/>
          </w:tcPr>
          <w:p>
            <w:pPr/>
            <w:r>
              <w:rPr/>
              <w:t xml:space="preserve"> </w:t>
            </w:r>
          </w:p>
        </w:tc>
        <w:tc>
          <w:tcPr>
            <w:tcW w:w="350" w:type="pct"/>
            <w:noWrap/>
          </w:tcPr>
          <w:p>
            <w:pPr/>
            <w:r>
              <w:rPr/>
              <w:t xml:space="preserve"> </w:t>
            </w:r>
          </w:p>
        </w:tc>
        <w:tc>
          <w:tcPr>
            <w:tcW w:w="450" w:type="pct"/>
            <w:noWrap/>
          </w:tcPr>
          <w:p>
            <w:pPr/>
            <w:r>
              <w:rPr/>
              <w:t xml:space="preserve"> </w:t>
            </w:r>
          </w:p>
        </w:tc>
        <w:tc>
          <w:tcPr>
            <w:tcW w:w="500" w:type="pct"/>
            <w:noWrap/>
          </w:tcPr>
          <w:p>
            <w:pPr/>
            <w:r>
              <w:rPr/>
              <w:t xml:space="preserve"> </w:t>
            </w:r>
          </w:p>
        </w:tc>
        <w:tc>
          <w:tcPr>
            <w:tcW w:w="500" w:type="pct"/>
            <w:noWrap/>
          </w:tcPr>
          <w:p>
            <w:pPr/>
            <w:r>
              <w:rPr/>
              <w:t xml:space="preserve"> </w:t>
            </w:r>
          </w:p>
        </w:tc>
        <w:tc>
          <w:tcPr>
            <w:tcW w:w="400" w:type="pct"/>
            <w:noWrap/>
          </w:tcPr>
          <w:p>
            <w:pPr/>
            <w:r>
              <w:rPr/>
              <w:t xml:space="preserve"> </w:t>
            </w:r>
          </w:p>
        </w:tc>
        <w:tc>
          <w:tcPr>
            <w:tcW w:w="400" w:type="pct"/>
            <w:noWrap/>
          </w:tcPr>
          <w:p>
            <w:pPr/>
            <w:r>
              <w:rPr/>
              <w:t xml:space="preserve"> </w:t>
            </w:r>
          </w:p>
        </w:tc>
        <w:tc>
          <w:tcPr>
            <w:tcW w:w="0" w:type="dxa"/>
            <w:noWrap/>
          </w:tcPr>
          <w:p>
            <w:pPr/>
            <w:r>
              <w:rPr/>
              <w:t xml:space="preserve"> </w:t>
            </w:r>
          </w:p>
        </w:tc>
      </w:tr>
      <w:tr>
        <w:trPr/>
        <w:tc>
          <w:tcPr>
            <w:tcW w:w="550" w:type="pct"/>
            <w:noWrap/>
          </w:tcPr>
          <w:p>
            <w:pPr/>
            <w:r>
              <w:rPr/>
              <w:t xml:space="preserve"> </w:t>
            </w:r>
          </w:p>
        </w:tc>
        <w:tc>
          <w:tcPr>
            <w:tcW w:w="450" w:type="pct"/>
            <w:noWrap/>
          </w:tcPr>
          <w:p>
            <w:pPr/>
            <w:r>
              <w:rPr/>
              <w:t xml:space="preserve"> </w:t>
            </w:r>
          </w:p>
        </w:tc>
        <w:tc>
          <w:tcPr>
            <w:tcW w:w="450" w:type="pct"/>
            <w:noWrap/>
          </w:tcPr>
          <w:p>
            <w:pPr/>
            <w:r>
              <w:rPr/>
              <w:t xml:space="preserve"> </w:t>
            </w:r>
          </w:p>
        </w:tc>
        <w:tc>
          <w:tcPr>
            <w:tcW w:w="400" w:type="pct"/>
            <w:noWrap/>
          </w:tcPr>
          <w:p>
            <w:pPr/>
            <w:r>
              <w:rPr/>
              <w:t xml:space="preserve"> </w:t>
            </w:r>
          </w:p>
        </w:tc>
        <w:tc>
          <w:tcPr>
            <w:tcW w:w="350" w:type="pct"/>
            <w:noWrap/>
          </w:tcPr>
          <w:p>
            <w:pPr/>
            <w:r>
              <w:rPr/>
              <w:t xml:space="preserve"> </w:t>
            </w:r>
          </w:p>
        </w:tc>
        <w:tc>
          <w:tcPr>
            <w:tcW w:w="350" w:type="pct"/>
            <w:noWrap/>
          </w:tcPr>
          <w:p>
            <w:pPr/>
            <w:r>
              <w:rPr/>
              <w:t xml:space="preserve"> </w:t>
            </w:r>
          </w:p>
        </w:tc>
        <w:tc>
          <w:tcPr>
            <w:tcW w:w="450" w:type="pct"/>
            <w:noWrap/>
          </w:tcPr>
          <w:p>
            <w:pPr/>
            <w:r>
              <w:rPr/>
              <w:t xml:space="preserve"> </w:t>
            </w:r>
          </w:p>
        </w:tc>
        <w:tc>
          <w:tcPr>
            <w:tcW w:w="500" w:type="pct"/>
            <w:noWrap/>
          </w:tcPr>
          <w:p>
            <w:pPr/>
            <w:r>
              <w:rPr/>
              <w:t xml:space="preserve"> </w:t>
            </w:r>
          </w:p>
        </w:tc>
        <w:tc>
          <w:tcPr>
            <w:tcW w:w="500" w:type="pct"/>
            <w:noWrap/>
          </w:tcPr>
          <w:p>
            <w:pPr/>
            <w:r>
              <w:rPr/>
              <w:t xml:space="preserve"> </w:t>
            </w:r>
          </w:p>
        </w:tc>
        <w:tc>
          <w:tcPr>
            <w:tcW w:w="400" w:type="pct"/>
            <w:noWrap/>
          </w:tcPr>
          <w:p>
            <w:pPr/>
            <w:r>
              <w:rPr/>
              <w:t xml:space="preserve"> </w:t>
            </w:r>
          </w:p>
        </w:tc>
        <w:tc>
          <w:tcPr>
            <w:tcW w:w="400" w:type="pct"/>
            <w:noWrap/>
          </w:tcPr>
          <w:p>
            <w:pPr/>
            <w:r>
              <w:rPr/>
              <w:t xml:space="preserve"> </w:t>
            </w:r>
          </w:p>
        </w:tc>
        <w:tc>
          <w:tcPr>
            <w:tcW w:w="0" w:type="dxa"/>
            <w:noWrap/>
          </w:tcPr>
          <w:p>
            <w:pPr/>
            <w:r>
              <w:rPr/>
              <w:t xml:space="preserve"> </w:t>
            </w:r>
          </w:p>
        </w:tc>
      </w:tr>
      <w:tr>
        <w:trPr/>
        <w:tc>
          <w:tcPr>
            <w:tcW w:w="550" w:type="pct"/>
            <w:noWrap/>
          </w:tcPr>
          <w:p>
            <w:pPr/>
            <w:r>
              <w:rPr/>
              <w:t xml:space="preserve"> </w:t>
            </w:r>
          </w:p>
        </w:tc>
        <w:tc>
          <w:tcPr>
            <w:tcW w:w="450" w:type="pct"/>
            <w:noWrap/>
          </w:tcPr>
          <w:p>
            <w:pPr/>
            <w:r>
              <w:rPr/>
              <w:t xml:space="preserve"> </w:t>
            </w:r>
          </w:p>
        </w:tc>
        <w:tc>
          <w:tcPr>
            <w:tcW w:w="450" w:type="pct"/>
            <w:noWrap/>
          </w:tcPr>
          <w:p>
            <w:pPr/>
            <w:r>
              <w:rPr/>
              <w:t xml:space="preserve"> </w:t>
            </w:r>
          </w:p>
        </w:tc>
        <w:tc>
          <w:tcPr>
            <w:tcW w:w="400" w:type="pct"/>
            <w:noWrap/>
          </w:tcPr>
          <w:p>
            <w:pPr/>
            <w:r>
              <w:rPr/>
              <w:t xml:space="preserve"> </w:t>
            </w:r>
          </w:p>
        </w:tc>
        <w:tc>
          <w:tcPr>
            <w:tcW w:w="350" w:type="pct"/>
            <w:noWrap/>
          </w:tcPr>
          <w:p>
            <w:pPr/>
            <w:r>
              <w:rPr/>
              <w:t xml:space="preserve"> </w:t>
            </w:r>
          </w:p>
        </w:tc>
        <w:tc>
          <w:tcPr>
            <w:tcW w:w="350" w:type="pct"/>
            <w:noWrap/>
          </w:tcPr>
          <w:p>
            <w:pPr/>
            <w:r>
              <w:rPr/>
              <w:t xml:space="preserve"> </w:t>
            </w:r>
          </w:p>
        </w:tc>
        <w:tc>
          <w:tcPr>
            <w:tcW w:w="450" w:type="pct"/>
            <w:noWrap/>
          </w:tcPr>
          <w:p>
            <w:pPr/>
            <w:r>
              <w:rPr/>
              <w:t xml:space="preserve"> </w:t>
            </w:r>
          </w:p>
        </w:tc>
        <w:tc>
          <w:tcPr>
            <w:tcW w:w="500" w:type="pct"/>
            <w:noWrap/>
          </w:tcPr>
          <w:p>
            <w:pPr/>
            <w:r>
              <w:rPr/>
              <w:t xml:space="preserve"> </w:t>
            </w:r>
          </w:p>
        </w:tc>
        <w:tc>
          <w:tcPr>
            <w:tcW w:w="500" w:type="pct"/>
            <w:noWrap/>
          </w:tcPr>
          <w:p>
            <w:pPr/>
            <w:r>
              <w:rPr/>
              <w:t xml:space="preserve"> </w:t>
            </w:r>
          </w:p>
        </w:tc>
        <w:tc>
          <w:tcPr>
            <w:tcW w:w="400" w:type="pct"/>
            <w:noWrap/>
          </w:tcPr>
          <w:p>
            <w:pPr/>
            <w:r>
              <w:rPr/>
              <w:t xml:space="preserve"> </w:t>
            </w:r>
          </w:p>
        </w:tc>
        <w:tc>
          <w:tcPr>
            <w:tcW w:w="400" w:type="pct"/>
            <w:noWrap/>
          </w:tcPr>
          <w:p>
            <w:pPr/>
            <w:r>
              <w:rPr/>
              <w:t xml:space="preserve"> </w:t>
            </w:r>
          </w:p>
        </w:tc>
        <w:tc>
          <w:tcPr>
            <w:tcW w:w="0" w:type="dxa"/>
            <w:noWrap/>
          </w:tcPr>
          <w:p>
            <w:pPr/>
            <w:r>
              <w:rPr/>
              <w:t xml:space="preserve"> </w:t>
            </w:r>
          </w:p>
        </w:tc>
      </w:tr>
    </w:tbl>
    <w:tbl>
      <w:tblGrid>
        <w:gridCol w:w="300" w:type="dxa"/>
        <w:gridCol w:w="250" w:type="dxa"/>
        <w:gridCol w:w="350" w:type="dxa"/>
        <w:gridCol w:w="400" w:type="dxa"/>
        <w:gridCol w:w="300" w:type="dxa"/>
        <w:gridCol w:w="250" w:type="dxa"/>
        <w:gridCol w:w="400" w:type="dxa"/>
        <w:gridCol w:w="500" w:type="dxa"/>
        <w:gridCol w:w="400" w:type="dxa"/>
        <w:gridCol w:w="400" w:type="dxa"/>
        <w:gridCol w:w="400" w:type="dxa"/>
        <w:gridCol w:w="500" w:type="dxa"/>
        <w:gridCol w:w="350" w:type="dxa"/>
      </w:tblGrid>
      <w:tblPr>
        <w:tblW w:w="5000" w:type="pct"/>
        <w:tblLayout w:type="autofit"/>
      </w:tblPr>
      <w:tr>
        <w:trPr/>
        <w:tc>
          <w:tcPr>
            <w:tcW w:w="1900" w:type="pct"/>
            <w:gridSpan w:val="6"/>
            <w:noWrap/>
          </w:tcPr>
          <w:p>
            <w:pPr/>
            <w:r>
              <w:rPr/>
              <w:t xml:space="preserve">Հողամասի բարելավումների (շինությունների) տվյալները՝</w:t>
            </w:r>
          </w:p>
        </w:tc>
        <w:tc>
          <w:tcPr>
            <w:tcW w:w="400" w:type="pct"/>
            <w:noWrap/>
          </w:tcPr>
          <w:p>
            <w:pPr/>
            <w:r>
              <w:rPr/>
              <w:t xml:space="preserve">Գյուղա- տնտեսա-</w:t>
            </w:r>
          </w:p>
          <w:p>
            <w:pPr/>
            <w:r>
              <w:rPr/>
              <w:t xml:space="preserve">կան նշանա-կության հողա-մասի կադաս-տրային գնահատ-</w:t>
            </w:r>
          </w:p>
          <w:p>
            <w:pPr/>
            <w:r>
              <w:rPr/>
              <w:t xml:space="preserve">ման կար-գով հաշվ-արկված հաշվարկային զուտ եկա-մուտը</w:t>
            </w:r>
            <w:br/>
            <w:r>
              <w:rPr/>
              <w:t xml:space="preserve"> (ՀՀ դրամ/հա)</w:t>
            </w:r>
          </w:p>
        </w:tc>
        <w:tc>
          <w:tcPr>
            <w:tcW w:w="500" w:type="pct"/>
            <w:noWrap/>
          </w:tcPr>
          <w:p>
            <w:pPr/>
            <w:r>
              <w:rPr/>
              <w:t xml:space="preserve">Ան-</w:t>
            </w:r>
          </w:p>
          <w:p>
            <w:pPr/>
            <w:r>
              <w:rPr/>
              <w:t xml:space="preserve">շարժ գույքի հարկով հարկ-</w:t>
            </w:r>
          </w:p>
          <w:p>
            <w:pPr/>
            <w:r>
              <w:rPr/>
              <w:t xml:space="preserve">ման նպատակ-ով ան-</w:t>
            </w:r>
          </w:p>
          <w:p>
            <w:pPr/>
            <w:r>
              <w:rPr/>
              <w:t xml:space="preserve">շարժ գույքի (բացառութ-յամբ գյուղա-տնտեսա-կան նշանա-կության հողերի) շուկայա-կան արժեքին մոտարկ-ված կադաստրային արժեքը</w:t>
            </w:r>
            <w:br/>
            <w:r>
              <w:rPr/>
              <w:t xml:space="preserve"> (ՀՀ դրամ)</w:t>
            </w:r>
          </w:p>
        </w:tc>
        <w:tc>
          <w:tcPr>
            <w:tcW w:w="850" w:type="pct"/>
            <w:gridSpan w:val="2"/>
            <w:noWrap/>
          </w:tcPr>
          <w:p>
            <w:pPr/>
            <w:r>
              <w:rPr/>
              <w:t xml:space="preserve">Որի կազմում</w:t>
            </w:r>
          </w:p>
        </w:tc>
        <w:tc>
          <w:tcPr>
            <w:tcW w:w="1250" w:type="pct"/>
            <w:gridSpan w:val="3"/>
            <w:noWrap/>
          </w:tcPr>
          <w:p>
            <w:pPr/>
            <w:r>
              <w:rPr/>
              <w:t xml:space="preserve">Իրավունքների՝</w:t>
            </w:r>
          </w:p>
        </w:tc>
      </w:tr>
      <w:tr>
        <w:trPr/>
        <w:tc>
          <w:tcPr>
            <w:tcW w:w="300" w:type="pct"/>
            <w:noWrap/>
          </w:tcPr>
          <w:p>
            <w:pPr/>
            <w:r>
              <w:rPr/>
              <w:t xml:space="preserve">Կադաս-տրային ծածկագիրը</w:t>
            </w:r>
          </w:p>
        </w:tc>
        <w:tc>
          <w:tcPr>
            <w:tcW w:w="250" w:type="pct"/>
            <w:noWrap/>
          </w:tcPr>
          <w:p>
            <w:pPr/>
            <w:r>
              <w:rPr/>
              <w:t xml:space="preserve">Նպատակային նշանա-կությունը</w:t>
            </w:r>
          </w:p>
        </w:tc>
        <w:tc>
          <w:tcPr>
            <w:tcW w:w="350" w:type="pct"/>
            <w:noWrap/>
          </w:tcPr>
          <w:p>
            <w:pPr/>
            <w:r>
              <w:rPr/>
              <w:t xml:space="preserve">Գործառ-նական նշանակությունը</w:t>
            </w:r>
          </w:p>
        </w:tc>
        <w:tc>
          <w:tcPr>
            <w:tcW w:w="400" w:type="pct"/>
            <w:noWrap/>
          </w:tcPr>
          <w:p>
            <w:pPr/>
            <w:r>
              <w:rPr/>
              <w:t xml:space="preserve">Ավարտվա-ծության աստիճանը</w:t>
            </w:r>
          </w:p>
        </w:tc>
        <w:tc>
          <w:tcPr>
            <w:tcW w:w="300" w:type="pct"/>
            <w:noWrap/>
          </w:tcPr>
          <w:p>
            <w:pPr/>
            <w:r>
              <w:rPr/>
              <w:t xml:space="preserve">Տարածագնահատման (գտնվելու վայրի) գոտին</w:t>
            </w:r>
          </w:p>
        </w:tc>
        <w:tc>
          <w:tcPr>
            <w:tcW w:w="250" w:type="pct"/>
            <w:noWrap/>
          </w:tcPr>
          <w:p>
            <w:pPr/>
            <w:r>
              <w:rPr/>
              <w:t xml:space="preserve">Շին</w:t>
            </w:r>
          </w:p>
          <w:p>
            <w:pPr/>
            <w:r>
              <w:rPr/>
              <w:t xml:space="preserve">ության մակերեսը (քմ)</w:t>
            </w:r>
          </w:p>
        </w:tc>
        <w:tc>
          <w:tcPr>
            <w:tcW w:w="400" w:type="pct"/>
            <w:noWrap/>
          </w:tcPr>
          <w:p>
            <w:pPr/>
            <w:r>
              <w:rPr/>
              <w:t xml:space="preserve">Հողամասի կադաս-տրային արժեքը</w:t>
            </w:r>
            <w:br/>
            <w:r>
              <w:rPr/>
              <w:t xml:space="preserve"> (ՀՀ դրամ)</w:t>
            </w:r>
          </w:p>
        </w:tc>
        <w:tc>
          <w:tcPr>
            <w:tcW w:w="400" w:type="pct"/>
            <w:noWrap/>
          </w:tcPr>
          <w:p>
            <w:pPr/>
            <w:r>
              <w:rPr/>
              <w:t xml:space="preserve">Հողամասի բարելա-վումների (շին-</w:t>
            </w:r>
          </w:p>
          <w:p>
            <w:pPr/>
            <w:r>
              <w:rPr/>
              <w:t xml:space="preserve">ություն-ների) կադաս-տրային արժեքը</w:t>
            </w:r>
            <w:br/>
            <w:r>
              <w:rPr/>
              <w:t xml:space="preserve"> (ՀՀ դրամ)</w:t>
            </w:r>
          </w:p>
        </w:tc>
        <w:tc>
          <w:tcPr>
            <w:tcW w:w="400" w:type="pct"/>
            <w:noWrap/>
          </w:tcPr>
          <w:p>
            <w:pPr/>
            <w:r>
              <w:rPr/>
              <w:t xml:space="preserve">Պետակ</w:t>
            </w:r>
          </w:p>
          <w:p>
            <w:pPr/>
            <w:r>
              <w:rPr/>
              <w:t xml:space="preserve">ան գրանցման ամսաթիվը (օրը, ամիսը, տարե-թիվը)</w:t>
            </w:r>
          </w:p>
        </w:tc>
        <w:tc>
          <w:tcPr>
            <w:tcW w:w="500" w:type="pct"/>
            <w:noWrap/>
          </w:tcPr>
          <w:p>
            <w:pPr/>
            <w:r>
              <w:rPr/>
              <w:t xml:space="preserve">Սե-</w:t>
            </w:r>
          </w:p>
          <w:p>
            <w:pPr/>
            <w:r>
              <w:rPr/>
              <w:t xml:space="preserve">փական</w:t>
            </w:r>
          </w:p>
          <w:p>
            <w:pPr/>
            <w:r>
              <w:rPr/>
              <w:t xml:space="preserve">ութ</w:t>
            </w:r>
          </w:p>
          <w:p>
            <w:pPr/>
            <w:r>
              <w:rPr/>
              <w:t xml:space="preserve">յան ձևը (ամբողջը կամ ընդ-</w:t>
            </w:r>
          </w:p>
          <w:p>
            <w:pPr/>
            <w:r>
              <w:rPr/>
              <w:t xml:space="preserve">հան-</w:t>
            </w:r>
          </w:p>
          <w:p>
            <w:pPr/>
            <w:r>
              <w:rPr/>
              <w:t xml:space="preserve">ուր բաժնային կամ ընդհան</w:t>
            </w:r>
          </w:p>
          <w:p>
            <w:pPr/>
            <w:r>
              <w:rPr/>
              <w:t xml:space="preserve">ուր համատեղ)</w:t>
            </w:r>
          </w:p>
        </w:tc>
        <w:tc>
          <w:tcPr>
            <w:tcW w:w="350" w:type="pct"/>
            <w:noWrap/>
          </w:tcPr>
          <w:p>
            <w:pPr/>
            <w:r>
              <w:rPr/>
              <w:t xml:space="preserve">Գրանց</w:t>
            </w:r>
          </w:p>
          <w:p>
            <w:pPr/>
            <w:r>
              <w:rPr/>
              <w:t xml:space="preserve">ման սուբյեկտի լրացուցիչ տվյալներ</w:t>
            </w:r>
          </w:p>
        </w:tc>
      </w:tr>
      <w:tr>
        <w:trPr/>
        <w:tc>
          <w:tcPr>
            <w:tcW w:w="300" w:type="pct"/>
            <w:noWrap/>
          </w:tcPr>
          <w:p>
            <w:pPr/>
            <w:r>
              <w:rPr/>
              <w:t xml:space="preserve">25</w:t>
            </w:r>
          </w:p>
        </w:tc>
        <w:tc>
          <w:tcPr>
            <w:tcW w:w="250" w:type="pct"/>
            <w:noWrap/>
          </w:tcPr>
          <w:p>
            <w:pPr/>
            <w:r>
              <w:rPr/>
              <w:t xml:space="preserve">26</w:t>
            </w:r>
          </w:p>
        </w:tc>
        <w:tc>
          <w:tcPr>
            <w:tcW w:w="350" w:type="pct"/>
            <w:noWrap/>
          </w:tcPr>
          <w:p>
            <w:pPr/>
            <w:r>
              <w:rPr/>
              <w:t xml:space="preserve">27</w:t>
            </w:r>
          </w:p>
        </w:tc>
        <w:tc>
          <w:tcPr>
            <w:tcW w:w="400" w:type="pct"/>
            <w:noWrap/>
          </w:tcPr>
          <w:p>
            <w:pPr/>
            <w:r>
              <w:rPr/>
              <w:t xml:space="preserve">28</w:t>
            </w:r>
          </w:p>
        </w:tc>
        <w:tc>
          <w:tcPr>
            <w:tcW w:w="300" w:type="pct"/>
            <w:noWrap/>
          </w:tcPr>
          <w:p>
            <w:pPr/>
            <w:r>
              <w:rPr/>
              <w:t xml:space="preserve">29</w:t>
            </w:r>
          </w:p>
        </w:tc>
        <w:tc>
          <w:tcPr>
            <w:tcW w:w="250" w:type="pct"/>
            <w:noWrap/>
          </w:tcPr>
          <w:p>
            <w:pPr/>
            <w:r>
              <w:rPr/>
              <w:t xml:space="preserve">30</w:t>
            </w:r>
          </w:p>
        </w:tc>
        <w:tc>
          <w:tcPr>
            <w:tcW w:w="400" w:type="pct"/>
            <w:noWrap/>
          </w:tcPr>
          <w:p>
            <w:pPr/>
            <w:r>
              <w:rPr/>
              <w:t xml:space="preserve">31</w:t>
            </w:r>
          </w:p>
        </w:tc>
        <w:tc>
          <w:tcPr>
            <w:tcW w:w="500" w:type="pct"/>
            <w:noWrap/>
          </w:tcPr>
          <w:p>
            <w:pPr/>
            <w:r>
              <w:rPr/>
              <w:t xml:space="preserve">32</w:t>
            </w:r>
          </w:p>
        </w:tc>
        <w:tc>
          <w:tcPr>
            <w:tcW w:w="400" w:type="pct"/>
            <w:noWrap/>
          </w:tcPr>
          <w:p>
            <w:pPr/>
            <w:r>
              <w:rPr/>
              <w:t xml:space="preserve">33</w:t>
            </w:r>
          </w:p>
        </w:tc>
        <w:tc>
          <w:tcPr>
            <w:tcW w:w="400" w:type="pct"/>
            <w:noWrap/>
          </w:tcPr>
          <w:p>
            <w:pPr/>
            <w:r>
              <w:rPr/>
              <w:t xml:space="preserve">34</w:t>
            </w:r>
          </w:p>
        </w:tc>
        <w:tc>
          <w:tcPr>
            <w:tcW w:w="400" w:type="pct"/>
            <w:noWrap/>
          </w:tcPr>
          <w:p>
            <w:pPr/>
            <w:r>
              <w:rPr/>
              <w:t xml:space="preserve">35</w:t>
            </w:r>
          </w:p>
        </w:tc>
        <w:tc>
          <w:tcPr>
            <w:tcW w:w="500" w:type="pct"/>
            <w:noWrap/>
          </w:tcPr>
          <w:p>
            <w:pPr/>
            <w:r>
              <w:rPr/>
              <w:t xml:space="preserve">36</w:t>
            </w:r>
          </w:p>
        </w:tc>
        <w:tc>
          <w:tcPr>
            <w:tcW w:w="350" w:type="pct"/>
            <w:noWrap/>
          </w:tcPr>
          <w:p>
            <w:pPr/>
            <w:r>
              <w:rPr/>
              <w:t xml:space="preserve">37</w:t>
            </w:r>
          </w:p>
        </w:tc>
      </w:tr>
      <w:tr>
        <w:trPr/>
        <w:tc>
          <w:tcPr>
            <w:tcW w:w="300" w:type="pct"/>
            <w:noWrap/>
          </w:tcPr>
          <w:p>
            <w:pPr/>
            <w:r>
              <w:rPr/>
              <w:t xml:space="preserve"> </w:t>
            </w:r>
          </w:p>
        </w:tc>
        <w:tc>
          <w:tcPr>
            <w:tcW w:w="250" w:type="pct"/>
            <w:noWrap/>
          </w:tcPr>
          <w:p>
            <w:pPr/>
            <w:r>
              <w:rPr/>
              <w:t xml:space="preserve"> </w:t>
            </w:r>
          </w:p>
        </w:tc>
        <w:tc>
          <w:tcPr>
            <w:tcW w:w="350" w:type="pct"/>
            <w:noWrap/>
          </w:tcPr>
          <w:p>
            <w:pPr/>
            <w:r>
              <w:rPr/>
              <w:t xml:space="preserve"> </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5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500" w:type="pct"/>
            <w:noWrap/>
          </w:tcPr>
          <w:p>
            <w:pPr/>
            <w:r>
              <w:rPr/>
              <w:t xml:space="preserve"> </w:t>
            </w:r>
          </w:p>
        </w:tc>
        <w:tc>
          <w:tcPr>
            <w:tcW w:w="350" w:type="pct"/>
            <w:noWrap/>
          </w:tcPr>
          <w:p>
            <w:pPr/>
            <w:r>
              <w:rPr/>
              <w:t xml:space="preserve"> </w:t>
            </w:r>
          </w:p>
        </w:tc>
      </w:tr>
      <w:tr>
        <w:trPr/>
        <w:tc>
          <w:tcPr>
            <w:tcW w:w="300" w:type="pct"/>
            <w:noWrap/>
          </w:tcPr>
          <w:p>
            <w:pPr/>
            <w:r>
              <w:rPr/>
              <w:t xml:space="preserve"> </w:t>
            </w:r>
          </w:p>
        </w:tc>
        <w:tc>
          <w:tcPr>
            <w:tcW w:w="250" w:type="pct"/>
            <w:noWrap/>
          </w:tcPr>
          <w:p>
            <w:pPr/>
            <w:r>
              <w:rPr/>
              <w:t xml:space="preserve"> </w:t>
            </w:r>
          </w:p>
        </w:tc>
        <w:tc>
          <w:tcPr>
            <w:tcW w:w="350" w:type="pct"/>
            <w:noWrap/>
          </w:tcPr>
          <w:p>
            <w:pPr/>
            <w:r>
              <w:rPr/>
              <w:t xml:space="preserve"> </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5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500" w:type="pct"/>
            <w:noWrap/>
          </w:tcPr>
          <w:p>
            <w:pPr/>
            <w:r>
              <w:rPr/>
              <w:t xml:space="preserve"> </w:t>
            </w:r>
          </w:p>
        </w:tc>
        <w:tc>
          <w:tcPr>
            <w:tcW w:w="350" w:type="pct"/>
            <w:noWrap/>
          </w:tcPr>
          <w:p>
            <w:pPr/>
            <w:r>
              <w:rPr/>
              <w:t xml:space="preserve"> </w:t>
            </w:r>
          </w:p>
        </w:tc>
      </w:tr>
      <w:tr>
        <w:trPr/>
        <w:tc>
          <w:tcPr>
            <w:tcW w:w="300" w:type="pct"/>
            <w:noWrap/>
          </w:tcPr>
          <w:p>
            <w:pPr/>
            <w:r>
              <w:rPr/>
              <w:t xml:space="preserve"> </w:t>
            </w:r>
          </w:p>
        </w:tc>
        <w:tc>
          <w:tcPr>
            <w:tcW w:w="250" w:type="pct"/>
            <w:noWrap/>
          </w:tcPr>
          <w:p>
            <w:pPr/>
            <w:r>
              <w:rPr/>
              <w:t xml:space="preserve"> </w:t>
            </w:r>
          </w:p>
        </w:tc>
        <w:tc>
          <w:tcPr>
            <w:tcW w:w="350" w:type="pct"/>
            <w:noWrap/>
          </w:tcPr>
          <w:p>
            <w:pPr/>
            <w:r>
              <w:rPr/>
              <w:t xml:space="preserve"> </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5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500" w:type="pct"/>
            <w:noWrap/>
          </w:tcPr>
          <w:p>
            <w:pPr/>
            <w:r>
              <w:rPr/>
              <w:t xml:space="preserve"> </w:t>
            </w:r>
          </w:p>
        </w:tc>
        <w:tc>
          <w:tcPr>
            <w:tcW w:w="350" w:type="pct"/>
            <w:noWrap/>
          </w:tcPr>
          <w:p>
            <w:pPr/>
            <w:r>
              <w:rPr/>
              <w:t xml:space="preserve"> </w:t>
            </w:r>
          </w:p>
        </w:tc>
      </w:tr>
    </w:tbl>
    <w:p>
      <w:pPr/>
      <w:r>
        <w:rPr/>
        <w:t xml:space="preserve"> </w:t>
      </w:r>
    </w:p>
    <w:p>
      <w:pPr/>
      <w:r>
        <w:rPr/>
        <w:t xml:space="preserve"> </w:t>
      </w:r>
    </w:p>
    <w:p>
      <w:pPr/>
      <w:r>
        <w:rPr>
          <w:b w:val="1"/>
          <w:bCs w:val="1"/>
          <w:u w:val="single"/>
        </w:rPr>
        <w:t xml:space="preserve"> </w:t>
      </w:r>
    </w:p>
    <w:p>
      <w:pPr/>
      <w:r>
        <w:rPr>
          <w:b w:val="1"/>
          <w:bCs w:val="1"/>
          <w:u w:val="single"/>
        </w:rPr>
        <w:t xml:space="preserve">Ձև N 2</w:t>
      </w:r>
    </w:p>
    <w:p>
      <w:pPr/>
      <w:r>
        <w:rPr/>
        <w:t xml:space="preserve"> </w:t>
      </w:r>
    </w:p>
    <w:tbl>
      <w:tblGrid>
        <w:gridCol w:w="5000" w:type="dxa"/>
        <w:gridCol w:w="4500" w:type="dxa"/>
      </w:tblGrid>
      <w:tblPr>
        <w:tblW w:w="5000" w:type="pct"/>
        <w:tblLayout w:type="autofit"/>
      </w:tblPr>
      <w:tr>
        <w:trPr/>
        <w:tc>
          <w:tcPr>
            <w:tcW w:w="5000" w:type="pct"/>
            <w:noWrap/>
          </w:tcPr>
          <w:p>
            <w:pPr/>
            <w:r>
              <w:rPr>
                <w:b w:val="1"/>
                <w:bCs w:val="1"/>
                <w:u w:val="single"/>
              </w:rPr>
              <w:t xml:space="preserve">Ձևաթղթի դիմային մասը</w:t>
            </w:r>
          </w:p>
        </w:tc>
        <w:tc>
          <w:tcPr>
            <w:tcW w:w="4500" w:type="dxa"/>
            <w:noWrap/>
          </w:tcPr>
          <w:p>
            <w:pPr/>
            <w:r>
              <w:rPr/>
              <w:t xml:space="preserve"> </w:t>
            </w:r>
          </w:p>
        </w:tc>
      </w:tr>
    </w:tbl>
    <w:p>
      <w:pPr/>
      <w:r>
        <w:rPr/>
        <w:t xml:space="preserve"> </w:t>
      </w:r>
    </w:p>
    <w:tbl>
      <w:tblGrid>
        <w:gridCol w:w="9750" w:type="dxa"/>
        <w:gridCol w:w="9750" w:type="dxa"/>
        <w:gridCol w:w="9750" w:type="dxa"/>
      </w:tblGrid>
      <w:tblPr>
        <w:tblW w:w="9750" w:type="dxa"/>
        <w:tblLayout w:type="autofit"/>
      </w:tblPr>
      <w:tr>
        <w:trPr/>
        <w:tc>
          <w:tcPr>
            <w:tcW w:w="9750" w:type="dxa"/>
            <w:noWrap/>
          </w:tcPr>
          <w:p>
            <w:pPr/>
            <w:r>
              <w:rPr/>
              <w:t xml:space="preserve">Մարզը՝</w:t>
            </w:r>
          </w:p>
        </w:tc>
        <w:tc>
          <w:tcPr>
            <w:tcW w:w="9750" w:type="dxa"/>
            <w:noWrap/>
          </w:tcPr>
          <w:tbl>
            <w:tblGrid>
              <w:gridCol w:w="3000" w:type="dxa"/>
            </w:tblGrid>
            <w:tblPr>
              <w:tblW w:w="3000" w:type="dxa"/>
              <w:tblLayout w:type="autofit"/>
            </w:tblPr>
            <w:tr>
              <w:trPr/>
              <w:tc>
                <w:tcPr>
                  <w:tcW w:w="3000" w:type="dxa"/>
                  <w:noWrap/>
                </w:tcPr>
                <w:p>
                  <w:pPr/>
                  <w:r>
                    <w:rPr/>
                    <w:t xml:space="preserve"> </w:t>
                  </w:r>
                </w:p>
              </w:tc>
            </w:tr>
          </w:tbl>
          <w:p>
            <w:pPr/>
            <w:r>
              <w:rPr/>
              <w:t xml:space="preserve">(անվանումը)</w:t>
            </w:r>
          </w:p>
        </w:tc>
        <w:tc>
          <w:tcPr>
            <w:tcW w:w="9750" w:type="dxa"/>
            <w:noWrap/>
          </w:tcPr>
          <w:tbl>
            <w:tblGrid>
              <w:gridCol w:w="2250" w:type="dxa"/>
            </w:tblGrid>
            <w:tblPr>
              <w:tblW w:w="2250" w:type="dxa"/>
              <w:tblLayout w:type="autofit"/>
            </w:tblPr>
            <w:tr>
              <w:trPr/>
              <w:tc>
                <w:tcPr>
                  <w:tcW w:w="2250" w:type="dxa"/>
                  <w:noWrap/>
                </w:tcPr>
                <w:p>
                  <w:pPr/>
                  <w:r>
                    <w:rPr/>
                    <w:t xml:space="preserve"> </w:t>
                  </w:r>
                </w:p>
              </w:tc>
            </w:tr>
          </w:tbl>
          <w:p>
            <w:pPr/>
            <w:r>
              <w:rPr/>
              <w:t xml:space="preserve">(ծածկագիրը)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Համայնքը (բնակավայրը, Երևան քաղաքում՝ վարչական շրջանը)՝</w:t>
            </w:r>
          </w:p>
        </w:tc>
        <w:tc>
          <w:tcPr>
            <w:tcW w:w="9750" w:type="dxa"/>
            <w:noWrap/>
          </w:tcPr>
          <w:tbl>
            <w:tblGrid>
              <w:gridCol w:w="3000" w:type="dxa"/>
            </w:tblGrid>
            <w:tblPr>
              <w:tblW w:w="3000" w:type="dxa"/>
              <w:tblLayout w:type="autofit"/>
            </w:tblPr>
            <w:tr>
              <w:trPr/>
              <w:tc>
                <w:tcPr>
                  <w:tcW w:w="3000" w:type="dxa"/>
                  <w:noWrap/>
                </w:tcPr>
                <w:p>
                  <w:pPr/>
                  <w:r>
                    <w:rPr/>
                    <w:t xml:space="preserve"> </w:t>
                  </w:r>
                </w:p>
              </w:tc>
            </w:tr>
          </w:tbl>
          <w:p>
            <w:pPr/>
            <w:r>
              <w:rPr/>
              <w:t xml:space="preserve">(անվանումը)</w:t>
            </w:r>
          </w:p>
        </w:tc>
        <w:tc>
          <w:tcPr>
            <w:tcW w:w="9750" w:type="dxa"/>
            <w:noWrap/>
          </w:tcPr>
          <w:tbl>
            <w:tblGrid>
              <w:gridCol w:w="2250" w:type="dxa"/>
            </w:tblGrid>
            <w:tblPr>
              <w:tblW w:w="2250" w:type="dxa"/>
              <w:tblLayout w:type="autofit"/>
            </w:tblPr>
            <w:tr>
              <w:trPr/>
              <w:tc>
                <w:tcPr>
                  <w:tcW w:w="2250" w:type="dxa"/>
                  <w:noWrap/>
                </w:tcPr>
                <w:p>
                  <w:pPr/>
                  <w:r>
                    <w:rPr/>
                    <w:t xml:space="preserve"> </w:t>
                  </w:r>
                </w:p>
              </w:tc>
            </w:tr>
          </w:tbl>
          <w:p>
            <w:pPr/>
            <w:r>
              <w:rPr/>
              <w:t xml:space="preserve">(ծածկագիրը)</w:t>
            </w:r>
          </w:p>
        </w:tc>
      </w:tr>
    </w:tbl>
    <w:p>
      <w:pPr/>
      <w:r>
        <w:rPr/>
        <w:t xml:space="preserve"> </w:t>
      </w:r>
    </w:p>
    <w:tbl>
      <w:tblGrid>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Գնահատումը՝</w:t>
            </w:r>
          </w:p>
        </w:tc>
        <w:tc>
          <w:tcPr>
            <w:tcW w:w="9750" w:type="dxa"/>
            <w:noWrap/>
          </w:tcPr>
          <w:p>
            <w:pPr/>
            <w:r>
              <w:rPr/>
              <w:t xml:space="preserve"> </w:t>
            </w:r>
          </w:p>
        </w:tc>
        <w:tc>
          <w:tcPr>
            <w:tcW w:w="9750" w:type="dxa"/>
            <w:noWrap/>
          </w:tcPr>
          <w:tbl>
            <w:tblGrid>
              <w:gridCol w:w="2250" w:type="dxa"/>
            </w:tblGrid>
            <w:tblPr>
              <w:tblW w:w="2250" w:type="dxa"/>
              <w:tblLayout w:type="autofit"/>
            </w:tblPr>
            <w:tr>
              <w:trPr/>
              <w:tc>
                <w:tcPr>
                  <w:tcW w:w="2250" w:type="dxa"/>
                  <w:noWrap/>
                </w:tcPr>
                <w:p>
                  <w:pPr/>
                  <w:r>
                    <w:rPr/>
                    <w:t xml:space="preserve"> </w:t>
                  </w:r>
                </w:p>
              </w:tc>
            </w:tr>
          </w:tbl>
          <w:p>
            <w:pPr/>
            <w:r>
              <w:rPr/>
              <w:t xml:space="preserve">(օրը, ամիսը, տարեթիվը)</w:t>
            </w:r>
          </w:p>
        </w:tc>
        <w:tc>
          <w:tcPr>
            <w:tcW w:w="9750" w:type="dxa"/>
            <w:noWrap/>
          </w:tcPr>
          <w:p>
            <w:pPr/>
            <w:r>
              <w:rPr/>
              <w:t xml:space="preserve"> </w:t>
            </w:r>
          </w:p>
        </w:tc>
        <w:tc>
          <w:tcPr>
            <w:tcW w:w="9750" w:type="dxa"/>
            <w:noWrap/>
          </w:tcPr>
          <w:p>
            <w:pPr/>
            <w:r>
              <w:rPr/>
              <w:t xml:space="preserve">դրությամբ</w:t>
            </w:r>
          </w:p>
        </w:tc>
      </w:tr>
    </w:tbl>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ՏԵՂԵԿՈՒԹՅՈՒՆՆԵՐ</w:t>
      </w:r>
    </w:p>
    <w:p>
      <w:pPr/>
      <w:r>
        <w:rPr/>
        <w:t xml:space="preserve"> </w:t>
      </w:r>
    </w:p>
    <w:p>
      <w:pPr/>
      <w:r>
        <w:rPr>
          <w:b w:val="1"/>
          <w:bCs w:val="1"/>
        </w:rPr>
        <w:t xml:space="preserve">ԱՆՇԱՐԺ ԳՈՒՅՔԻ ՀԱՐԿՈՎ ՀԱՐԿՄԱՆ ՕԲՅԵԿՏ ՀԱՄԱՐՎՈՂ ԱՆՇԱՐԺ ԳՈՒՅՔԻ ՍԵՓԱԿԱՆԱՏԵՐԵՐԻ ԵՎ ԼԻԶԻՆԳԱՌՈՒՆԵՐԻ ՓՈՓՈԽՈՒԹՅՈՒՆՆԵՐԻ ՎԵՐԱԲԵՐՅԱԼ</w:t>
      </w:r>
    </w:p>
    <w:p>
      <w:pPr/>
      <w:r>
        <w:rPr/>
        <w:t xml:space="preserve"> </w:t>
      </w:r>
    </w:p>
    <w:p>
      <w:pPr/>
      <w:r>
        <w:rPr/>
        <w:t xml:space="preserve"> </w:t>
      </w:r>
    </w:p>
    <w:tbl>
      <w:tblGrid>
        <w:gridCol w:w="100" w:type="dxa"/>
        <w:gridCol w:w="400" w:type="dxa"/>
        <w:gridCol w:w="300" w:type="dxa"/>
        <w:gridCol w:w="250" w:type="dxa"/>
        <w:gridCol w:w="400" w:type="dxa"/>
        <w:gridCol w:w="350" w:type="dxa"/>
        <w:gridCol w:w="300" w:type="dxa"/>
        <w:gridCol w:w="450" w:type="dxa"/>
        <w:gridCol w:w="400" w:type="dxa"/>
        <w:gridCol w:w="400" w:type="dxa"/>
        <w:gridCol w:w="400" w:type="dxa"/>
        <w:gridCol w:w="450" w:type="dxa"/>
        <w:gridCol w:w="450" w:type="dxa"/>
      </w:tblGrid>
      <w:tblPr>
        <w:tblW w:w="5000" w:type="pct"/>
        <w:tblLayout w:type="autofit"/>
      </w:tblPr>
      <w:tr>
        <w:trPr/>
        <w:tc>
          <w:tcPr>
            <w:tcW w:w="100" w:type="pct"/>
            <w:noWrap/>
          </w:tcPr>
          <w:p>
            <w:pPr/>
            <w:r>
              <w:rPr/>
              <w:t xml:space="preserve">հ/հ</w:t>
            </w:r>
          </w:p>
        </w:tc>
        <w:tc>
          <w:tcPr>
            <w:tcW w:w="400" w:type="pct"/>
            <w:noWrap/>
          </w:tcPr>
          <w:p>
            <w:pPr/>
            <w:r>
              <w:rPr/>
              <w:t xml:space="preserve">Արխիվա-յին ծածկա-գիր</w:t>
            </w:r>
          </w:p>
        </w:tc>
        <w:tc>
          <w:tcPr>
            <w:tcW w:w="300" w:type="pct"/>
            <w:noWrap/>
          </w:tcPr>
          <w:p>
            <w:pPr/>
            <w:r>
              <w:rPr/>
              <w:t xml:space="preserve">Միավ-որի բանա-լի</w:t>
            </w:r>
          </w:p>
        </w:tc>
        <w:tc>
          <w:tcPr>
            <w:tcW w:w="4100" w:type="pct"/>
            <w:gridSpan w:val="10"/>
            <w:noWrap/>
          </w:tcPr>
          <w:p>
            <w:pPr/>
            <w:r>
              <w:rPr/>
              <w:t xml:space="preserve">Անշարժ գույքի նոր սեփականատիրոջ (համասեփականատիրոջ) կամ պետական սեփականություն հանդիսացող հողի նոր մշտական օգտագործողի կամ նոր լիզինգառուի (լիզինգառուների)՝</w:t>
            </w:r>
          </w:p>
        </w:tc>
      </w:tr>
      <w:tr>
        <w:trPr/>
        <w:tc>
          <w:tcPr>
            <w:tcW w:w="1800" w:type="pct"/>
            <w:gridSpan w:val="5"/>
            <w:noWrap/>
          </w:tcPr>
          <w:p>
            <w:pPr/>
            <w:r>
              <w:rPr/>
              <w:t xml:space="preserve">Ֆիզիկական անձի հաշվառման (գրանցման) կամ կազմակերպության գտնվելու վայրի հասցեն</w:t>
            </w:r>
          </w:p>
        </w:tc>
        <w:tc>
          <w:tcPr>
            <w:tcW w:w="400" w:type="pct"/>
            <w:noWrap/>
          </w:tcPr>
          <w:p>
            <w:pPr/>
            <w:r>
              <w:rPr/>
              <w:t xml:space="preserve">Ֆիզիկական անձի ազգան-</w:t>
            </w:r>
          </w:p>
          <w:p>
            <w:pPr/>
            <w:r>
              <w:rPr/>
              <w:t xml:space="preserve">ունը կամ կազմա-կերպության անվան-</w:t>
            </w:r>
          </w:p>
          <w:p>
            <w:pPr/>
            <w:r>
              <w:rPr/>
              <w:t xml:space="preserve">ումը</w:t>
            </w:r>
          </w:p>
        </w:tc>
        <w:tc>
          <w:tcPr>
            <w:tcW w:w="400" w:type="pct"/>
            <w:noWrap/>
          </w:tcPr>
          <w:p>
            <w:pPr/>
            <w:r>
              <w:rPr/>
              <w:t xml:space="preserve">Ֆիզիկական անձի անունը</w:t>
            </w:r>
          </w:p>
        </w:tc>
        <w:tc>
          <w:tcPr>
            <w:tcW w:w="400" w:type="pct"/>
            <w:noWrap/>
          </w:tcPr>
          <w:p>
            <w:pPr/>
            <w:r>
              <w:rPr/>
              <w:t xml:space="preserve">Ֆիզիկական անձի հայրանունը</w:t>
            </w:r>
          </w:p>
        </w:tc>
        <w:tc>
          <w:tcPr>
            <w:tcW w:w="450" w:type="pct"/>
            <w:noWrap/>
          </w:tcPr>
          <w:p>
            <w:pPr/>
            <w:r>
              <w:rPr/>
              <w:t xml:space="preserve">Ֆիզիկական անձի անձը հաստատող փաստաթղթի տվյալները կամ կազմա-կերպության պետական ռեգիստրում գրանցման համարը</w:t>
            </w:r>
          </w:p>
        </w:tc>
        <w:tc>
          <w:tcPr>
            <w:tcW w:w="450" w:type="pct"/>
            <w:noWrap/>
          </w:tcPr>
          <w:p>
            <w:pPr/>
            <w:r>
              <w:rPr/>
              <w:t xml:space="preserve">Ֆիզիկական անձի հանրային ծառայության համարանիշը կամ կազմա-կերպության ՀՎՀՀ-ն</w:t>
            </w:r>
          </w:p>
        </w:tc>
      </w:tr>
      <w:tr>
        <w:trPr/>
        <w:tc>
          <w:tcPr>
            <w:tcW w:w="250" w:type="pct"/>
            <w:noWrap/>
          </w:tcPr>
          <w:p>
            <w:pPr/>
            <w:r>
              <w:rPr/>
              <w:t xml:space="preserve">Մար-զը</w:t>
            </w:r>
          </w:p>
        </w:tc>
        <w:tc>
          <w:tcPr>
            <w:tcW w:w="400" w:type="pct"/>
            <w:noWrap/>
          </w:tcPr>
          <w:p>
            <w:pPr/>
            <w:r>
              <w:rPr/>
              <w:t xml:space="preserve">Համայն-քը</w:t>
            </w:r>
            <w:br/>
            <w:r>
              <w:rPr/>
              <w:t xml:space="preserve"> /վարչա-կան շրջանը/</w:t>
            </w:r>
          </w:p>
        </w:tc>
        <w:tc>
          <w:tcPr>
            <w:tcW w:w="350" w:type="pct"/>
            <w:noWrap/>
          </w:tcPr>
          <w:p>
            <w:pPr/>
            <w:r>
              <w:rPr/>
              <w:t xml:space="preserve">Փողոցը, նրբ-անցքը, փակ-ուղին և այլն</w:t>
            </w:r>
          </w:p>
        </w:tc>
        <w:tc>
          <w:tcPr>
            <w:tcW w:w="300" w:type="pct"/>
            <w:noWrap/>
          </w:tcPr>
          <w:p>
            <w:pPr/>
            <w:r>
              <w:rPr/>
              <w:t xml:space="preserve">Շենքը</w:t>
            </w:r>
            <w:br/>
            <w:r>
              <w:rPr/>
              <w:t xml:space="preserve"> /տունը (համարը)</w:t>
            </w:r>
          </w:p>
        </w:tc>
        <w:tc>
          <w:tcPr>
            <w:tcW w:w="450" w:type="pct"/>
            <w:noWrap/>
          </w:tcPr>
          <w:p>
            <w:pPr/>
            <w:r>
              <w:rPr/>
              <w:t xml:space="preserve">Բնակարանը (համարը)</w:t>
            </w:r>
          </w:p>
        </w:tc>
      </w:tr>
      <w:tr>
        <w:trPr/>
        <w:tc>
          <w:tcPr>
            <w:tcW w:w="100" w:type="pct"/>
            <w:noWrap/>
          </w:tcPr>
          <w:p>
            <w:pPr/>
            <w:r>
              <w:rPr/>
              <w:t xml:space="preserve">1</w:t>
            </w:r>
          </w:p>
        </w:tc>
        <w:tc>
          <w:tcPr>
            <w:tcW w:w="400" w:type="pct"/>
            <w:noWrap/>
          </w:tcPr>
          <w:p>
            <w:pPr/>
            <w:r>
              <w:rPr/>
              <w:t xml:space="preserve">2</w:t>
            </w:r>
          </w:p>
        </w:tc>
        <w:tc>
          <w:tcPr>
            <w:tcW w:w="300" w:type="pct"/>
            <w:noWrap/>
          </w:tcPr>
          <w:p>
            <w:pPr/>
            <w:r>
              <w:rPr/>
              <w:t xml:space="preserve">3</w:t>
            </w:r>
          </w:p>
        </w:tc>
        <w:tc>
          <w:tcPr>
            <w:tcW w:w="250" w:type="pct"/>
            <w:noWrap/>
          </w:tcPr>
          <w:p>
            <w:pPr/>
            <w:r>
              <w:rPr/>
              <w:t xml:space="preserve">4</w:t>
            </w:r>
          </w:p>
        </w:tc>
        <w:tc>
          <w:tcPr>
            <w:tcW w:w="400" w:type="pct"/>
            <w:noWrap/>
          </w:tcPr>
          <w:p>
            <w:pPr/>
            <w:r>
              <w:rPr/>
              <w:t xml:space="preserve">5</w:t>
            </w:r>
          </w:p>
        </w:tc>
        <w:tc>
          <w:tcPr>
            <w:tcW w:w="350" w:type="pct"/>
            <w:noWrap/>
          </w:tcPr>
          <w:p>
            <w:pPr/>
            <w:r>
              <w:rPr/>
              <w:t xml:space="preserve">6</w:t>
            </w:r>
          </w:p>
        </w:tc>
        <w:tc>
          <w:tcPr>
            <w:tcW w:w="300" w:type="pct"/>
            <w:noWrap/>
          </w:tcPr>
          <w:p>
            <w:pPr/>
            <w:r>
              <w:rPr/>
              <w:t xml:space="preserve">7</w:t>
            </w:r>
          </w:p>
        </w:tc>
        <w:tc>
          <w:tcPr>
            <w:tcW w:w="450" w:type="pct"/>
            <w:noWrap/>
          </w:tcPr>
          <w:p>
            <w:pPr/>
            <w:r>
              <w:rPr/>
              <w:t xml:space="preserve">8</w:t>
            </w:r>
          </w:p>
        </w:tc>
        <w:tc>
          <w:tcPr>
            <w:tcW w:w="400" w:type="pct"/>
            <w:noWrap/>
          </w:tcPr>
          <w:p>
            <w:pPr/>
            <w:r>
              <w:rPr/>
              <w:t xml:space="preserve">9</w:t>
            </w:r>
          </w:p>
        </w:tc>
        <w:tc>
          <w:tcPr>
            <w:tcW w:w="400" w:type="pct"/>
            <w:noWrap/>
          </w:tcPr>
          <w:p>
            <w:pPr/>
            <w:r>
              <w:rPr/>
              <w:t xml:space="preserve">10</w:t>
            </w:r>
          </w:p>
        </w:tc>
        <w:tc>
          <w:tcPr>
            <w:tcW w:w="400" w:type="pct"/>
            <w:noWrap/>
          </w:tcPr>
          <w:p>
            <w:pPr/>
            <w:r>
              <w:rPr/>
              <w:t xml:space="preserve">11</w:t>
            </w:r>
          </w:p>
        </w:tc>
        <w:tc>
          <w:tcPr>
            <w:tcW w:w="450" w:type="pct"/>
            <w:noWrap/>
          </w:tcPr>
          <w:p>
            <w:pPr/>
            <w:r>
              <w:rPr/>
              <w:t xml:space="preserve">12</w:t>
            </w:r>
          </w:p>
        </w:tc>
        <w:tc>
          <w:tcPr>
            <w:tcW w:w="450" w:type="pct"/>
            <w:noWrap/>
          </w:tcPr>
          <w:p>
            <w:pPr/>
            <w:r>
              <w:rPr/>
              <w:t xml:space="preserve">13</w:t>
            </w:r>
          </w:p>
        </w:tc>
      </w:tr>
      <w:tr>
        <w:trPr/>
        <w:tc>
          <w:tcPr>
            <w:tcW w:w="100" w:type="pct"/>
            <w:noWrap/>
          </w:tcPr>
          <w:p>
            <w:pPr/>
            <w:r>
              <w:rPr/>
              <w:t xml:space="preserve">1</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350" w:type="pct"/>
            <w:noWrap/>
          </w:tcPr>
          <w:p>
            <w:pPr/>
            <w:r>
              <w:rPr/>
              <w:t xml:space="preserve"> </w:t>
            </w:r>
          </w:p>
        </w:tc>
        <w:tc>
          <w:tcPr>
            <w:tcW w:w="300" w:type="pct"/>
            <w:noWrap/>
          </w:tcPr>
          <w:p>
            <w:pPr/>
            <w:r>
              <w:rPr/>
              <w:t xml:space="preserve"> </w:t>
            </w:r>
          </w:p>
        </w:tc>
        <w:tc>
          <w:tcPr>
            <w:tcW w:w="4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50" w:type="pct"/>
            <w:noWrap/>
          </w:tcPr>
          <w:p>
            <w:pPr/>
            <w:r>
              <w:rPr/>
              <w:t xml:space="preserve"> </w:t>
            </w:r>
          </w:p>
        </w:tc>
        <w:tc>
          <w:tcPr>
            <w:tcW w:w="450" w:type="pct"/>
            <w:noWrap/>
          </w:tcPr>
          <w:p>
            <w:pPr/>
            <w:r>
              <w:rPr/>
              <w:t xml:space="preserve"> </w:t>
            </w:r>
          </w:p>
        </w:tc>
      </w:tr>
      <w:tr>
        <w:trPr/>
        <w:tc>
          <w:tcPr>
            <w:tcW w:w="100" w:type="pct"/>
            <w:noWrap/>
          </w:tcPr>
          <w:p>
            <w:pPr/>
            <w:r>
              <w:rPr/>
              <w:t xml:space="preserve">2</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350" w:type="pct"/>
            <w:noWrap/>
          </w:tcPr>
          <w:p>
            <w:pPr/>
            <w:r>
              <w:rPr/>
              <w:t xml:space="preserve"> </w:t>
            </w:r>
          </w:p>
        </w:tc>
        <w:tc>
          <w:tcPr>
            <w:tcW w:w="300" w:type="pct"/>
            <w:noWrap/>
          </w:tcPr>
          <w:p>
            <w:pPr/>
            <w:r>
              <w:rPr/>
              <w:t xml:space="preserve"> </w:t>
            </w:r>
          </w:p>
        </w:tc>
        <w:tc>
          <w:tcPr>
            <w:tcW w:w="4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50" w:type="pct"/>
            <w:noWrap/>
          </w:tcPr>
          <w:p>
            <w:pPr/>
            <w:r>
              <w:rPr/>
              <w:t xml:space="preserve"> </w:t>
            </w:r>
          </w:p>
        </w:tc>
        <w:tc>
          <w:tcPr>
            <w:tcW w:w="450" w:type="pct"/>
            <w:noWrap/>
          </w:tcPr>
          <w:p>
            <w:pPr/>
            <w:r>
              <w:rPr/>
              <w:t xml:space="preserve"> </w:t>
            </w:r>
          </w:p>
        </w:tc>
      </w:tr>
      <w:tr>
        <w:trPr/>
        <w:tc>
          <w:tcPr>
            <w:tcW w:w="100" w:type="pct"/>
            <w:noWrap/>
          </w:tcPr>
          <w:p>
            <w:pPr/>
            <w:r>
              <w:rPr/>
              <w:t xml:space="preserve">3</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350" w:type="pct"/>
            <w:noWrap/>
          </w:tcPr>
          <w:p>
            <w:pPr/>
            <w:r>
              <w:rPr/>
              <w:t xml:space="preserve"> </w:t>
            </w:r>
          </w:p>
        </w:tc>
        <w:tc>
          <w:tcPr>
            <w:tcW w:w="300" w:type="pct"/>
            <w:noWrap/>
          </w:tcPr>
          <w:p>
            <w:pPr/>
            <w:r>
              <w:rPr/>
              <w:t xml:space="preserve"> </w:t>
            </w:r>
          </w:p>
        </w:tc>
        <w:tc>
          <w:tcPr>
            <w:tcW w:w="4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50" w:type="pct"/>
            <w:noWrap/>
          </w:tcPr>
          <w:p>
            <w:pPr/>
            <w:r>
              <w:rPr/>
              <w:t xml:space="preserve"> </w:t>
            </w:r>
          </w:p>
        </w:tc>
        <w:tc>
          <w:tcPr>
            <w:tcW w:w="450" w:type="pct"/>
            <w:noWrap/>
          </w:tcPr>
          <w:p>
            <w:pPr/>
            <w:r>
              <w:rPr/>
              <w:t xml:space="preserve"> </w:t>
            </w:r>
          </w:p>
        </w:tc>
      </w:tr>
    </w:tbl>
    <w:p>
      <w:pPr/>
      <w:r>
        <w:rPr/>
        <w:t xml:space="preserve"> </w:t>
      </w:r>
    </w:p>
    <w:p>
      <w:pPr/>
      <w:r>
        <w:rPr/>
        <w:t xml:space="preserve"> </w:t>
      </w:r>
    </w:p>
    <w:tbl>
      <w:tblGrid>
        <w:gridCol w:w="250" w:type="dxa"/>
        <w:gridCol w:w="200" w:type="dxa"/>
        <w:gridCol w:w="200" w:type="dxa"/>
        <w:gridCol w:w="350" w:type="dxa"/>
        <w:gridCol w:w="300" w:type="dxa"/>
        <w:gridCol w:w="350" w:type="dxa"/>
        <w:gridCol w:w="300" w:type="dxa"/>
        <w:gridCol w:w="300" w:type="dxa"/>
        <w:gridCol w:w="250" w:type="dxa"/>
        <w:gridCol w:w="300" w:type="dxa"/>
        <w:gridCol w:w="300" w:type="dxa"/>
        <w:gridCol w:w="350" w:type="dxa"/>
        <w:gridCol w:w="300" w:type="dxa"/>
        <w:gridCol w:w="350" w:type="dxa"/>
        <w:gridCol w:w="300" w:type="dxa"/>
        <w:gridCol w:w="250" w:type="dxa"/>
        <w:gridCol w:w="0" w:type="dxa"/>
      </w:tblGrid>
      <w:tblPr>
        <w:tblW w:w="5000" w:type="pct"/>
        <w:tblLayout w:type="autofit"/>
      </w:tblPr>
      <w:tr>
        <w:trPr/>
        <w:tc>
          <w:tcPr>
            <w:tcW w:w="1450" w:type="pct"/>
            <w:gridSpan w:val="5"/>
            <w:noWrap/>
          </w:tcPr>
          <w:p>
            <w:pPr/>
            <w:r>
              <w:rPr/>
              <w:t xml:space="preserve">Անշարժ գույքի նախկին սեփականատիրոջ (համասեփականատիրոջ) կամ պետական սեփականություն հանդիսացող հողի նախկին մշտական օգտագործողի կամ նախկին լիզինգառուի (լիզինգառուների)՝</w:t>
            </w:r>
          </w:p>
        </w:tc>
        <w:tc>
          <w:tcPr>
            <w:tcW w:w="1000" w:type="pct"/>
            <w:gridSpan w:val="3"/>
            <w:noWrap/>
          </w:tcPr>
          <w:p>
            <w:pPr/>
            <w:r>
              <w:rPr/>
              <w:t xml:space="preserve">Անշարժ գույքի գտնվելու վայրի հասցեն</w:t>
            </w:r>
          </w:p>
        </w:tc>
        <w:tc>
          <w:tcPr>
            <w:tcW w:w="2500" w:type="pct"/>
            <w:gridSpan w:val="8"/>
            <w:noWrap/>
          </w:tcPr>
          <w:p>
            <w:pPr/>
            <w:r>
              <w:rPr/>
              <w:t xml:space="preserve">Հողամասի տվյալները՝</w:t>
            </w:r>
          </w:p>
        </w:tc>
        <w:tc>
          <w:tcPr>
            <w:tcW w:w="0" w:type="dxa"/>
            <w:noWrap/>
          </w:tcPr>
          <w:p>
            <w:pPr/>
            <w:r>
              <w:rPr/>
              <w:t xml:space="preserve"> </w:t>
            </w:r>
          </w:p>
        </w:tc>
      </w:tr>
      <w:tr>
        <w:trPr/>
        <w:tc>
          <w:tcPr>
            <w:tcW w:w="250" w:type="pct"/>
            <w:noWrap/>
          </w:tcPr>
          <w:p>
            <w:pPr/>
            <w:r>
              <w:rPr/>
              <w:t xml:space="preserve">Ֆիզի-</w:t>
            </w:r>
          </w:p>
          <w:p>
            <w:pPr/>
            <w:r>
              <w:rPr/>
              <w:t xml:space="preserve">կական անձի ազգա-նունը կամ կազմակեր-պութ-յան անվա-նումը</w:t>
            </w:r>
          </w:p>
        </w:tc>
        <w:tc>
          <w:tcPr>
            <w:tcW w:w="200" w:type="pct"/>
            <w:noWrap/>
          </w:tcPr>
          <w:p>
            <w:pPr/>
            <w:r>
              <w:rPr/>
              <w:t xml:space="preserve">Ֆի-</w:t>
            </w:r>
          </w:p>
          <w:p>
            <w:pPr/>
            <w:r>
              <w:rPr/>
              <w:t xml:space="preserve">զի-կական անձի ան</w:t>
            </w:r>
          </w:p>
          <w:p>
            <w:pPr/>
            <w:r>
              <w:rPr/>
              <w:t xml:space="preserve">ունը</w:t>
            </w:r>
          </w:p>
        </w:tc>
        <w:tc>
          <w:tcPr>
            <w:tcW w:w="200" w:type="pct"/>
            <w:noWrap/>
          </w:tcPr>
          <w:p>
            <w:pPr/>
            <w:r>
              <w:rPr/>
              <w:t xml:space="preserve">Ֆի</w:t>
            </w:r>
          </w:p>
          <w:p>
            <w:pPr/>
            <w:r>
              <w:rPr/>
              <w:t xml:space="preserve">զի-կական ան</w:t>
            </w:r>
          </w:p>
          <w:p>
            <w:pPr/>
            <w:r>
              <w:rPr/>
              <w:t xml:space="preserve">ձի հայրա-նունը</w:t>
            </w:r>
          </w:p>
        </w:tc>
        <w:tc>
          <w:tcPr>
            <w:tcW w:w="350" w:type="pct"/>
            <w:noWrap/>
          </w:tcPr>
          <w:p>
            <w:pPr/>
            <w:r>
              <w:rPr/>
              <w:t xml:space="preserve">Ֆիզի-կական անձի անձը հաստա-տող փաստա-թղթի տվյալները կամ կազմա-</w:t>
            </w:r>
          </w:p>
          <w:p>
            <w:pPr/>
            <w:r>
              <w:rPr/>
              <w:t xml:space="preserve">կերպության պետական- ռեգիստրում գրանցման համարը</w:t>
            </w:r>
          </w:p>
        </w:tc>
        <w:tc>
          <w:tcPr>
            <w:tcW w:w="300" w:type="pct"/>
            <w:noWrap/>
          </w:tcPr>
          <w:p>
            <w:pPr/>
            <w:r>
              <w:rPr/>
              <w:t xml:space="preserve">Ֆիզի-</w:t>
            </w:r>
          </w:p>
          <w:p>
            <w:pPr/>
            <w:r>
              <w:rPr/>
              <w:t xml:space="preserve">կակ</w:t>
            </w:r>
          </w:p>
          <w:p>
            <w:pPr/>
            <w:r>
              <w:rPr/>
              <w:t xml:space="preserve">ան անձի հանրա-յին ծառայու-թյան համա-րանիշը կամ կազմա-</w:t>
            </w:r>
          </w:p>
          <w:p>
            <w:pPr/>
            <w:r>
              <w:rPr/>
              <w:t xml:space="preserve">կերպության ՀՎՀՀ-ն</w:t>
            </w:r>
          </w:p>
        </w:tc>
        <w:tc>
          <w:tcPr>
            <w:tcW w:w="350" w:type="pct"/>
            <w:noWrap/>
          </w:tcPr>
          <w:p>
            <w:pPr/>
            <w:r>
              <w:rPr/>
              <w:t xml:space="preserve">Փողոցը, նրբ-անցքը,փակ</w:t>
            </w:r>
          </w:p>
          <w:p>
            <w:pPr/>
            <w:r>
              <w:rPr/>
              <w:t xml:space="preserve">ուղին և այլն</w:t>
            </w:r>
          </w:p>
        </w:tc>
        <w:tc>
          <w:tcPr>
            <w:tcW w:w="300" w:type="pct"/>
            <w:noWrap/>
          </w:tcPr>
          <w:p>
            <w:pPr/>
            <w:r>
              <w:rPr/>
              <w:t xml:space="preserve">Շենքը</w:t>
            </w:r>
            <w:br/>
            <w:r>
              <w:rPr/>
              <w:t xml:space="preserve"> /տունը (համարը)</w:t>
            </w:r>
          </w:p>
        </w:tc>
        <w:tc>
          <w:tcPr>
            <w:tcW w:w="300" w:type="pct"/>
            <w:noWrap/>
          </w:tcPr>
          <w:p>
            <w:pPr/>
            <w:r>
              <w:rPr/>
              <w:t xml:space="preserve">Շինութ-յունը, բնակա-րանը (համարը)</w:t>
            </w:r>
          </w:p>
        </w:tc>
        <w:tc>
          <w:tcPr>
            <w:tcW w:w="250" w:type="pct"/>
            <w:noWrap/>
          </w:tcPr>
          <w:p>
            <w:pPr/>
            <w:r>
              <w:rPr/>
              <w:t xml:space="preserve">Կադաս-տրա-յին ծած-կա-գիրը</w:t>
            </w:r>
          </w:p>
        </w:tc>
        <w:tc>
          <w:tcPr>
            <w:tcW w:w="300" w:type="pct"/>
            <w:noWrap/>
          </w:tcPr>
          <w:p>
            <w:pPr/>
            <w:r>
              <w:rPr/>
              <w:t xml:space="preserve">Նպատակա-</w:t>
            </w:r>
          </w:p>
          <w:p>
            <w:pPr/>
            <w:r>
              <w:rPr/>
              <w:t xml:space="preserve">յին նշա</w:t>
            </w:r>
          </w:p>
          <w:p>
            <w:pPr/>
            <w:r>
              <w:rPr/>
              <w:t xml:space="preserve">նակութ-</w:t>
            </w:r>
          </w:p>
          <w:p>
            <w:pPr/>
            <w:r>
              <w:rPr/>
              <w:t xml:space="preserve">յունը</w:t>
            </w:r>
          </w:p>
        </w:tc>
        <w:tc>
          <w:tcPr>
            <w:tcW w:w="300" w:type="pct"/>
            <w:noWrap/>
          </w:tcPr>
          <w:p>
            <w:pPr/>
            <w:r>
              <w:rPr/>
              <w:t xml:space="preserve">Գործառ-նա-կան նշա-նա-կութ-յունը կամ հողա-տեսքը</w:t>
            </w:r>
          </w:p>
        </w:tc>
        <w:tc>
          <w:tcPr>
            <w:tcW w:w="350" w:type="pct"/>
            <w:noWrap/>
          </w:tcPr>
          <w:p>
            <w:pPr/>
            <w:r>
              <w:rPr/>
              <w:t xml:space="preserve"> Հողա-</w:t>
            </w:r>
          </w:p>
          <w:p>
            <w:pPr/>
            <w:r>
              <w:rPr/>
              <w:t xml:space="preserve">կա</w:t>
            </w:r>
          </w:p>
          <w:p>
            <w:pPr/>
            <w:r>
              <w:rPr/>
              <w:t xml:space="preserve">դաստրային գնա-հատ-ման շրջանը</w:t>
            </w:r>
          </w:p>
        </w:tc>
        <w:tc>
          <w:tcPr>
            <w:tcW w:w="300" w:type="pct"/>
            <w:noWrap/>
          </w:tcPr>
          <w:p>
            <w:pPr/>
            <w:r>
              <w:rPr/>
              <w:t xml:space="preserve">Գյուղատնտեսական նշանա-կության հողատեսքի գնահատման խումբը</w:t>
            </w:r>
          </w:p>
        </w:tc>
        <w:tc>
          <w:tcPr>
            <w:tcW w:w="350" w:type="pct"/>
            <w:noWrap/>
          </w:tcPr>
          <w:p>
            <w:pPr/>
            <w:r>
              <w:rPr/>
              <w:t xml:space="preserve">Ոչ գյուղա-տնտես-ական նշա-նակու-թյան հողա</w:t>
            </w:r>
          </w:p>
          <w:p>
            <w:pPr/>
            <w:r>
              <w:rPr/>
              <w:t xml:space="preserve">մասի տարածա</w:t>
            </w:r>
          </w:p>
          <w:p>
            <w:pPr/>
            <w:r>
              <w:rPr/>
              <w:t xml:space="preserve">գնահատ</w:t>
            </w:r>
          </w:p>
          <w:p>
            <w:pPr/>
            <w:r>
              <w:rPr/>
              <w:t xml:space="preserve">ման (գտնվելու վայրի) գոտին</w:t>
            </w:r>
          </w:p>
        </w:tc>
        <w:tc>
          <w:tcPr>
            <w:tcW w:w="300" w:type="pct"/>
            <w:noWrap/>
          </w:tcPr>
          <w:p>
            <w:pPr/>
            <w:r>
              <w:rPr/>
              <w:t xml:space="preserve">Գնա-հատ-վող հողա-մասի և ան-շարժ գու-</w:t>
            </w:r>
          </w:p>
          <w:p>
            <w:pPr/>
            <w:r>
              <w:rPr/>
              <w:t xml:space="preserve">յքի չափը (հեկտար)</w:t>
            </w:r>
          </w:p>
        </w:tc>
        <w:tc>
          <w:tcPr>
            <w:tcW w:w="250" w:type="pct"/>
            <w:noWrap/>
          </w:tcPr>
          <w:p>
            <w:pPr/>
            <w:r>
              <w:rPr/>
              <w:t xml:space="preserve">Կար</w:t>
            </w:r>
          </w:p>
          <w:p>
            <w:pPr/>
            <w:r>
              <w:rPr/>
              <w:t xml:space="preserve">գա</w:t>
            </w:r>
          </w:p>
          <w:p>
            <w:pPr/>
            <w:r>
              <w:rPr/>
              <w:t xml:space="preserve">վիճակը</w:t>
            </w:r>
          </w:p>
        </w:tc>
        <w:tc>
          <w:tcPr>
            <w:tcW w:w="0" w:type="dxa"/>
            <w:noWrap/>
          </w:tcPr>
          <w:p>
            <w:pPr/>
            <w:r>
              <w:rPr/>
              <w:t xml:space="preserve"> </w:t>
            </w:r>
          </w:p>
        </w:tc>
      </w:tr>
      <w:tr>
        <w:trPr/>
        <w:tc>
          <w:tcPr>
            <w:tcW w:w="0" w:type="dxa"/>
            <w:noWrap/>
          </w:tcPr>
          <w:p>
            <w:pPr/>
            <w:r>
              <w:rPr/>
              <w:t xml:space="preserve"> </w:t>
            </w:r>
          </w:p>
        </w:tc>
      </w:tr>
      <w:tr>
        <w:trPr/>
        <w:tc>
          <w:tcPr>
            <w:tcW w:w="250" w:type="pct"/>
            <w:noWrap/>
          </w:tcPr>
          <w:p>
            <w:pPr/>
            <w:r>
              <w:rPr/>
              <w:t xml:space="preserve">14</w:t>
            </w:r>
          </w:p>
        </w:tc>
        <w:tc>
          <w:tcPr>
            <w:tcW w:w="200" w:type="pct"/>
            <w:noWrap/>
          </w:tcPr>
          <w:p>
            <w:pPr/>
            <w:r>
              <w:rPr/>
              <w:t xml:space="preserve">15</w:t>
            </w:r>
          </w:p>
        </w:tc>
        <w:tc>
          <w:tcPr>
            <w:tcW w:w="200" w:type="pct"/>
            <w:noWrap/>
          </w:tcPr>
          <w:p>
            <w:pPr/>
            <w:r>
              <w:rPr/>
              <w:t xml:space="preserve">16</w:t>
            </w:r>
          </w:p>
        </w:tc>
        <w:tc>
          <w:tcPr>
            <w:tcW w:w="350" w:type="pct"/>
            <w:noWrap/>
          </w:tcPr>
          <w:p>
            <w:pPr/>
            <w:r>
              <w:rPr/>
              <w:t xml:space="preserve">17</w:t>
            </w:r>
          </w:p>
        </w:tc>
        <w:tc>
          <w:tcPr>
            <w:tcW w:w="300" w:type="pct"/>
            <w:noWrap/>
          </w:tcPr>
          <w:p>
            <w:pPr/>
            <w:r>
              <w:rPr/>
              <w:t xml:space="preserve">18</w:t>
            </w:r>
          </w:p>
        </w:tc>
        <w:tc>
          <w:tcPr>
            <w:tcW w:w="350" w:type="pct"/>
            <w:noWrap/>
          </w:tcPr>
          <w:p>
            <w:pPr/>
            <w:r>
              <w:rPr/>
              <w:t xml:space="preserve">19</w:t>
            </w:r>
          </w:p>
        </w:tc>
        <w:tc>
          <w:tcPr>
            <w:tcW w:w="300" w:type="pct"/>
            <w:noWrap/>
          </w:tcPr>
          <w:p>
            <w:pPr/>
            <w:r>
              <w:rPr/>
              <w:t xml:space="preserve">20</w:t>
            </w:r>
          </w:p>
        </w:tc>
        <w:tc>
          <w:tcPr>
            <w:tcW w:w="300" w:type="pct"/>
            <w:noWrap/>
          </w:tcPr>
          <w:p>
            <w:pPr/>
            <w:r>
              <w:rPr/>
              <w:t xml:space="preserve">21</w:t>
            </w:r>
          </w:p>
        </w:tc>
        <w:tc>
          <w:tcPr>
            <w:tcW w:w="250" w:type="pct"/>
            <w:noWrap/>
          </w:tcPr>
          <w:p>
            <w:pPr/>
            <w:r>
              <w:rPr/>
              <w:t xml:space="preserve">22</w:t>
            </w:r>
          </w:p>
        </w:tc>
        <w:tc>
          <w:tcPr>
            <w:tcW w:w="300" w:type="pct"/>
            <w:noWrap/>
          </w:tcPr>
          <w:p>
            <w:pPr/>
            <w:r>
              <w:rPr/>
              <w:t xml:space="preserve">23</w:t>
            </w:r>
          </w:p>
        </w:tc>
        <w:tc>
          <w:tcPr>
            <w:tcW w:w="300" w:type="pct"/>
            <w:noWrap/>
          </w:tcPr>
          <w:p>
            <w:pPr/>
            <w:r>
              <w:rPr/>
              <w:t xml:space="preserve">24</w:t>
            </w:r>
          </w:p>
        </w:tc>
        <w:tc>
          <w:tcPr>
            <w:tcW w:w="350" w:type="pct"/>
            <w:noWrap/>
          </w:tcPr>
          <w:p>
            <w:pPr/>
            <w:r>
              <w:rPr/>
              <w:t xml:space="preserve">25</w:t>
            </w:r>
          </w:p>
        </w:tc>
        <w:tc>
          <w:tcPr>
            <w:tcW w:w="300" w:type="pct"/>
            <w:noWrap/>
          </w:tcPr>
          <w:p>
            <w:pPr/>
            <w:r>
              <w:rPr/>
              <w:t xml:space="preserve">26</w:t>
            </w:r>
          </w:p>
        </w:tc>
        <w:tc>
          <w:tcPr>
            <w:tcW w:w="350" w:type="pct"/>
            <w:noWrap/>
          </w:tcPr>
          <w:p>
            <w:pPr/>
            <w:r>
              <w:rPr/>
              <w:t xml:space="preserve">27</w:t>
            </w:r>
          </w:p>
        </w:tc>
        <w:tc>
          <w:tcPr>
            <w:tcW w:w="300" w:type="pct"/>
            <w:noWrap/>
          </w:tcPr>
          <w:p>
            <w:pPr/>
            <w:r>
              <w:rPr/>
              <w:t xml:space="preserve">28</w:t>
            </w:r>
          </w:p>
        </w:tc>
        <w:tc>
          <w:tcPr>
            <w:tcW w:w="250" w:type="pct"/>
            <w:noWrap/>
          </w:tcPr>
          <w:p>
            <w:pPr/>
            <w:r>
              <w:rPr/>
              <w:t xml:space="preserve">29</w:t>
            </w:r>
          </w:p>
        </w:tc>
        <w:tc>
          <w:tcPr>
            <w:tcW w:w="0" w:type="dxa"/>
            <w:noWrap/>
          </w:tcPr>
          <w:p>
            <w:pPr/>
            <w:r>
              <w:rPr/>
              <w:t xml:space="preserve"> </w:t>
            </w:r>
          </w:p>
        </w:tc>
      </w:tr>
      <w:tr>
        <w:trPr/>
        <w:tc>
          <w:tcPr>
            <w:tcW w:w="250" w:type="pct"/>
            <w:noWrap/>
          </w:tcPr>
          <w:p>
            <w:pPr/>
            <w:r>
              <w:rPr/>
              <w:t xml:space="preserve"> </w:t>
            </w:r>
          </w:p>
        </w:tc>
        <w:tc>
          <w:tcPr>
            <w:tcW w:w="200" w:type="pct"/>
            <w:noWrap/>
          </w:tcPr>
          <w:p>
            <w:pPr/>
            <w:r>
              <w:rPr/>
              <w:t xml:space="preserve"> </w:t>
            </w:r>
          </w:p>
        </w:tc>
        <w:tc>
          <w:tcPr>
            <w:tcW w:w="200" w:type="pct"/>
            <w:noWrap/>
          </w:tcPr>
          <w:p>
            <w:pPr/>
            <w:r>
              <w:rPr/>
              <w:t xml:space="preserve"> </w:t>
            </w:r>
          </w:p>
        </w:tc>
        <w:tc>
          <w:tcPr>
            <w:tcW w:w="35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300" w:type="pct"/>
            <w:noWrap/>
          </w:tcPr>
          <w:p>
            <w:pPr/>
            <w:r>
              <w:rPr/>
              <w:t xml:space="preserve"> </w:t>
            </w:r>
          </w:p>
        </w:tc>
        <w:tc>
          <w:tcPr>
            <w:tcW w:w="250" w:type="pct"/>
            <w:noWrap/>
          </w:tcPr>
          <w:p>
            <w:pPr/>
            <w:r>
              <w:rPr/>
              <w:t xml:space="preserve"> </w:t>
            </w:r>
          </w:p>
        </w:tc>
        <w:tc>
          <w:tcPr>
            <w:tcW w:w="30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250" w:type="pct"/>
            <w:noWrap/>
          </w:tcPr>
          <w:p>
            <w:pPr/>
            <w:r>
              <w:rPr/>
              <w:t xml:space="preserve"> </w:t>
            </w:r>
          </w:p>
        </w:tc>
        <w:tc>
          <w:tcPr>
            <w:tcW w:w="0" w:type="dxa"/>
            <w:noWrap/>
          </w:tcPr>
          <w:p>
            <w:pPr/>
            <w:r>
              <w:rPr/>
              <w:t xml:space="preserve"> </w:t>
            </w:r>
          </w:p>
        </w:tc>
      </w:tr>
      <w:tr>
        <w:trPr/>
        <w:tc>
          <w:tcPr>
            <w:tcW w:w="250" w:type="pct"/>
            <w:noWrap/>
          </w:tcPr>
          <w:p>
            <w:pPr/>
            <w:r>
              <w:rPr/>
              <w:t xml:space="preserve"> </w:t>
            </w:r>
          </w:p>
        </w:tc>
        <w:tc>
          <w:tcPr>
            <w:tcW w:w="200" w:type="pct"/>
            <w:noWrap/>
          </w:tcPr>
          <w:p>
            <w:pPr/>
            <w:r>
              <w:rPr/>
              <w:t xml:space="preserve"> </w:t>
            </w:r>
          </w:p>
        </w:tc>
        <w:tc>
          <w:tcPr>
            <w:tcW w:w="200" w:type="pct"/>
            <w:noWrap/>
          </w:tcPr>
          <w:p>
            <w:pPr/>
            <w:r>
              <w:rPr/>
              <w:t xml:space="preserve"> </w:t>
            </w:r>
          </w:p>
        </w:tc>
        <w:tc>
          <w:tcPr>
            <w:tcW w:w="35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300" w:type="pct"/>
            <w:noWrap/>
          </w:tcPr>
          <w:p>
            <w:pPr/>
            <w:r>
              <w:rPr/>
              <w:t xml:space="preserve"> </w:t>
            </w:r>
          </w:p>
        </w:tc>
        <w:tc>
          <w:tcPr>
            <w:tcW w:w="250" w:type="pct"/>
            <w:noWrap/>
          </w:tcPr>
          <w:p>
            <w:pPr/>
            <w:r>
              <w:rPr/>
              <w:t xml:space="preserve"> </w:t>
            </w:r>
          </w:p>
        </w:tc>
        <w:tc>
          <w:tcPr>
            <w:tcW w:w="30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250" w:type="pct"/>
            <w:noWrap/>
          </w:tcPr>
          <w:p>
            <w:pPr/>
            <w:r>
              <w:rPr/>
              <w:t xml:space="preserve"> </w:t>
            </w:r>
          </w:p>
        </w:tc>
        <w:tc>
          <w:tcPr>
            <w:tcW w:w="0" w:type="dxa"/>
            <w:noWrap/>
          </w:tcPr>
          <w:p>
            <w:pPr/>
            <w:r>
              <w:rPr/>
              <w:t xml:space="preserve"> </w:t>
            </w:r>
          </w:p>
        </w:tc>
      </w:tr>
      <w:tr>
        <w:trPr/>
        <w:tc>
          <w:tcPr>
            <w:tcW w:w="250" w:type="pct"/>
            <w:noWrap/>
          </w:tcPr>
          <w:p>
            <w:pPr/>
            <w:r>
              <w:rPr/>
              <w:t xml:space="preserve"> </w:t>
            </w:r>
          </w:p>
        </w:tc>
        <w:tc>
          <w:tcPr>
            <w:tcW w:w="200" w:type="pct"/>
            <w:noWrap/>
          </w:tcPr>
          <w:p>
            <w:pPr/>
            <w:r>
              <w:rPr/>
              <w:t xml:space="preserve"> </w:t>
            </w:r>
          </w:p>
        </w:tc>
        <w:tc>
          <w:tcPr>
            <w:tcW w:w="200" w:type="pct"/>
            <w:noWrap/>
          </w:tcPr>
          <w:p>
            <w:pPr/>
            <w:r>
              <w:rPr/>
              <w:t xml:space="preserve"> </w:t>
            </w:r>
          </w:p>
        </w:tc>
        <w:tc>
          <w:tcPr>
            <w:tcW w:w="35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300" w:type="pct"/>
            <w:noWrap/>
          </w:tcPr>
          <w:p>
            <w:pPr/>
            <w:r>
              <w:rPr/>
              <w:t xml:space="preserve"> </w:t>
            </w:r>
          </w:p>
        </w:tc>
        <w:tc>
          <w:tcPr>
            <w:tcW w:w="250" w:type="pct"/>
            <w:noWrap/>
          </w:tcPr>
          <w:p>
            <w:pPr/>
            <w:r>
              <w:rPr/>
              <w:t xml:space="preserve"> </w:t>
            </w:r>
          </w:p>
        </w:tc>
        <w:tc>
          <w:tcPr>
            <w:tcW w:w="30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250" w:type="pct"/>
            <w:noWrap/>
          </w:tcPr>
          <w:p>
            <w:pPr/>
            <w:r>
              <w:rPr/>
              <w:t xml:space="preserve"> </w:t>
            </w:r>
          </w:p>
        </w:tc>
        <w:tc>
          <w:tcPr>
            <w:tcW w:w="0" w:type="dxa"/>
            <w:noWrap/>
          </w:tcPr>
          <w:p>
            <w:pPr/>
            <w:r>
              <w:rPr/>
              <w:t xml:space="preserve"> </w:t>
            </w:r>
          </w:p>
        </w:tc>
      </w:tr>
    </w:tbl>
    <w:p>
      <w:pPr/>
      <w:br/>
      <w:r>
        <w:rPr/>
        <w:t xml:space="preserve">  </w:t>
      </w:r>
    </w:p>
    <w:tbl>
      <w:tblGrid>
        <w:gridCol w:w="400" w:type="dxa"/>
        <w:gridCol w:w="300" w:type="dxa"/>
        <w:gridCol w:w="300" w:type="dxa"/>
        <w:gridCol w:w="350" w:type="dxa"/>
        <w:gridCol w:w="300" w:type="dxa"/>
        <w:gridCol w:w="200" w:type="dxa"/>
        <w:gridCol w:w="350" w:type="dxa"/>
        <w:gridCol w:w="550" w:type="dxa"/>
        <w:gridCol w:w="350" w:type="dxa"/>
        <w:gridCol w:w="400" w:type="dxa"/>
        <w:gridCol w:w="400" w:type="dxa"/>
        <w:gridCol w:w="400" w:type="dxa"/>
        <w:gridCol w:w="350" w:type="dxa"/>
      </w:tblGrid>
      <w:tblPr>
        <w:tblW w:w="5000" w:type="pct"/>
        <w:tblLayout w:type="autofit"/>
      </w:tblPr>
      <w:tr>
        <w:trPr/>
        <w:tc>
          <w:tcPr>
            <w:tcW w:w="2000" w:type="pct"/>
            <w:gridSpan w:val="6"/>
            <w:noWrap/>
          </w:tcPr>
          <w:p>
            <w:pPr/>
            <w:r>
              <w:rPr/>
              <w:t xml:space="preserve">Հողամասի բարելավումների (շինությունների) տվյալները՝</w:t>
            </w:r>
          </w:p>
        </w:tc>
        <w:tc>
          <w:tcPr>
            <w:tcW w:w="350" w:type="pct"/>
            <w:noWrap/>
          </w:tcPr>
          <w:p>
            <w:pPr/>
            <w:r>
              <w:rPr/>
              <w:t xml:space="preserve">Գյուղա</w:t>
            </w:r>
          </w:p>
          <w:p>
            <w:pPr/>
            <w:r>
              <w:rPr/>
              <w:t xml:space="preserve">տնտե-սական նշանա-կության հողա</w:t>
            </w:r>
          </w:p>
          <w:p>
            <w:pPr/>
            <w:r>
              <w:rPr/>
              <w:t xml:space="preserve">մասի կադաստրային գնահատ</w:t>
            </w:r>
          </w:p>
          <w:p>
            <w:pPr/>
            <w:r>
              <w:rPr/>
              <w:t xml:space="preserve">ման կարգով հաշ-վարկված հաշվար-կային զուտ եկամուտը (ՀՀ դրամ/հա)</w:t>
            </w:r>
          </w:p>
        </w:tc>
        <w:tc>
          <w:tcPr>
            <w:tcW w:w="550" w:type="pct"/>
            <w:noWrap/>
          </w:tcPr>
          <w:p>
            <w:pPr/>
            <w:r>
              <w:rPr/>
              <w:t xml:space="preserve">Անշարժ գույքի հարկով հարկման նպատակով անշարժ գույքի (բացառությամբ գյուղա-տնտեսական նշանակության հողերի) շուկայական արժեքին մոտարկված կադաստրային արժեքը</w:t>
            </w:r>
            <w:br/>
            <w:r>
              <w:rPr/>
              <w:t xml:space="preserve"> (ՀՀ դրամ)</w:t>
            </w:r>
          </w:p>
        </w:tc>
        <w:tc>
          <w:tcPr>
            <w:tcW w:w="750" w:type="pct"/>
            <w:gridSpan w:val="2"/>
            <w:noWrap/>
          </w:tcPr>
          <w:p>
            <w:pPr/>
            <w:r>
              <w:rPr/>
              <w:t xml:space="preserve">Որի կազմում</w:t>
            </w:r>
          </w:p>
        </w:tc>
        <w:tc>
          <w:tcPr>
            <w:tcW w:w="1200" w:type="pct"/>
            <w:gridSpan w:val="3"/>
            <w:noWrap/>
          </w:tcPr>
          <w:p>
            <w:pPr/>
            <w:r>
              <w:rPr/>
              <w:t xml:space="preserve">Իրավունքների՝</w:t>
            </w:r>
          </w:p>
        </w:tc>
      </w:tr>
      <w:tr>
        <w:trPr/>
        <w:tc>
          <w:tcPr>
            <w:tcW w:w="400" w:type="pct"/>
            <w:noWrap/>
          </w:tcPr>
          <w:p>
            <w:pPr/>
            <w:r>
              <w:rPr/>
              <w:t xml:space="preserve">Կադաս-տրային ծածկագիրը</w:t>
            </w:r>
          </w:p>
        </w:tc>
        <w:tc>
          <w:tcPr>
            <w:tcW w:w="300" w:type="pct"/>
            <w:noWrap/>
          </w:tcPr>
          <w:p>
            <w:pPr/>
            <w:r>
              <w:rPr/>
              <w:t xml:space="preserve">Նպա-տակային նշա-</w:t>
            </w:r>
          </w:p>
          <w:p>
            <w:pPr/>
            <w:r>
              <w:rPr/>
              <w:t xml:space="preserve">նանա-կութ</w:t>
            </w:r>
          </w:p>
          <w:p>
            <w:pPr/>
            <w:r>
              <w:rPr/>
              <w:t xml:space="preserve">յունը</w:t>
            </w:r>
          </w:p>
        </w:tc>
        <w:tc>
          <w:tcPr>
            <w:tcW w:w="300" w:type="pct"/>
            <w:noWrap/>
          </w:tcPr>
          <w:p>
            <w:pPr/>
            <w:r>
              <w:rPr/>
              <w:t xml:space="preserve">Գործառնական նշանակութ</w:t>
            </w:r>
          </w:p>
          <w:p>
            <w:pPr/>
            <w:r>
              <w:rPr/>
              <w:t xml:space="preserve">յունը</w:t>
            </w:r>
          </w:p>
        </w:tc>
        <w:tc>
          <w:tcPr>
            <w:tcW w:w="350" w:type="pct"/>
            <w:noWrap/>
          </w:tcPr>
          <w:p>
            <w:pPr/>
            <w:r>
              <w:rPr/>
              <w:t xml:space="preserve">Ավար</w:t>
            </w:r>
          </w:p>
          <w:p>
            <w:pPr/>
            <w:r>
              <w:rPr/>
              <w:t xml:space="preserve">տվա</w:t>
            </w:r>
          </w:p>
          <w:p>
            <w:pPr/>
            <w:r>
              <w:rPr/>
              <w:t xml:space="preserve">ծութ</w:t>
            </w:r>
          </w:p>
          <w:p>
            <w:pPr/>
            <w:r>
              <w:rPr/>
              <w:t xml:space="preserve">յան աստիճանը</w:t>
            </w:r>
          </w:p>
        </w:tc>
        <w:tc>
          <w:tcPr>
            <w:tcW w:w="300" w:type="pct"/>
            <w:noWrap/>
          </w:tcPr>
          <w:p>
            <w:pPr/>
            <w:r>
              <w:rPr/>
              <w:t xml:space="preserve">Տարա</w:t>
            </w:r>
          </w:p>
          <w:p>
            <w:pPr/>
            <w:r>
              <w:rPr/>
              <w:t xml:space="preserve">ծա</w:t>
            </w:r>
          </w:p>
          <w:p>
            <w:pPr/>
            <w:r>
              <w:rPr/>
              <w:t xml:space="preserve">գնա</w:t>
            </w:r>
          </w:p>
          <w:p>
            <w:pPr/>
            <w:r>
              <w:rPr/>
              <w:t xml:space="preserve">հատ</w:t>
            </w:r>
          </w:p>
          <w:p>
            <w:pPr/>
            <w:r>
              <w:rPr/>
              <w:t xml:space="preserve">ման (գտնվելու վայրի) գոտին</w:t>
            </w:r>
          </w:p>
        </w:tc>
        <w:tc>
          <w:tcPr>
            <w:tcW w:w="200" w:type="pct"/>
            <w:noWrap/>
          </w:tcPr>
          <w:p>
            <w:pPr/>
            <w:r>
              <w:rPr/>
              <w:t xml:space="preserve">Շինու-թյան մակերեսը (քմ)</w:t>
            </w:r>
          </w:p>
        </w:tc>
        <w:tc>
          <w:tcPr>
            <w:tcW w:w="350" w:type="pct"/>
            <w:noWrap/>
          </w:tcPr>
          <w:p>
            <w:pPr/>
            <w:r>
              <w:rPr/>
              <w:t xml:space="preserve">Հողա</w:t>
            </w:r>
          </w:p>
          <w:p>
            <w:pPr/>
            <w:r>
              <w:rPr/>
              <w:t xml:space="preserve">մասի կադաս</w:t>
            </w:r>
          </w:p>
          <w:p>
            <w:pPr/>
            <w:r>
              <w:rPr/>
              <w:t xml:space="preserve">տրային արժեքը (ՀՀ դրամ)</w:t>
            </w:r>
          </w:p>
        </w:tc>
        <w:tc>
          <w:tcPr>
            <w:tcW w:w="400" w:type="pct"/>
            <w:noWrap/>
          </w:tcPr>
          <w:p>
            <w:pPr/>
            <w:r>
              <w:rPr/>
              <w:t xml:space="preserve">Հողա-մասի բարելա-վումների (շինու-թյունների) կադաս-տրային արժեքը (ՀՀ դրամ)</w:t>
            </w:r>
          </w:p>
        </w:tc>
        <w:tc>
          <w:tcPr>
            <w:tcW w:w="400" w:type="pct"/>
            <w:noWrap/>
          </w:tcPr>
          <w:p>
            <w:pPr/>
            <w:r>
              <w:rPr/>
              <w:t xml:space="preserve">Պետա-կան գրանց-ման ամսա-թիվը (օրը, ամիսը, տարեթիվը)</w:t>
            </w:r>
          </w:p>
        </w:tc>
        <w:tc>
          <w:tcPr>
            <w:tcW w:w="400" w:type="pct"/>
            <w:noWrap/>
          </w:tcPr>
          <w:p>
            <w:pPr/>
            <w:r>
              <w:rPr/>
              <w:t xml:space="preserve">Սեփա-կանության ձևը (ամբողջը կամ ընդհանուր բաժնային կամ ընդհանուր համատեղ)</w:t>
            </w:r>
          </w:p>
        </w:tc>
        <w:tc>
          <w:tcPr>
            <w:tcW w:w="350" w:type="pct"/>
            <w:noWrap/>
          </w:tcPr>
          <w:p>
            <w:pPr/>
            <w:r>
              <w:rPr/>
              <w:t xml:space="preserve">Գրանցման սուբյեկտի լրացուցիչ տվյալներ</w:t>
            </w:r>
          </w:p>
        </w:tc>
      </w:tr>
      <w:tr>
        <w:trPr/>
        <w:tc>
          <w:tcPr>
            <w:tcW w:w="400" w:type="pct"/>
            <w:noWrap/>
          </w:tcPr>
          <w:p>
            <w:pPr/>
            <w:r>
              <w:rPr/>
              <w:t xml:space="preserve">30</w:t>
            </w:r>
          </w:p>
        </w:tc>
        <w:tc>
          <w:tcPr>
            <w:tcW w:w="300" w:type="pct"/>
            <w:noWrap/>
          </w:tcPr>
          <w:p>
            <w:pPr/>
            <w:r>
              <w:rPr/>
              <w:t xml:space="preserve">31</w:t>
            </w:r>
          </w:p>
        </w:tc>
        <w:tc>
          <w:tcPr>
            <w:tcW w:w="300" w:type="pct"/>
            <w:noWrap/>
          </w:tcPr>
          <w:p>
            <w:pPr/>
            <w:r>
              <w:rPr/>
              <w:t xml:space="preserve">32</w:t>
            </w:r>
          </w:p>
        </w:tc>
        <w:tc>
          <w:tcPr>
            <w:tcW w:w="350" w:type="pct"/>
            <w:noWrap/>
          </w:tcPr>
          <w:p>
            <w:pPr/>
            <w:r>
              <w:rPr/>
              <w:t xml:space="preserve">33</w:t>
            </w:r>
          </w:p>
        </w:tc>
        <w:tc>
          <w:tcPr>
            <w:tcW w:w="300" w:type="pct"/>
            <w:noWrap/>
          </w:tcPr>
          <w:p>
            <w:pPr/>
            <w:r>
              <w:rPr/>
              <w:t xml:space="preserve">34</w:t>
            </w:r>
          </w:p>
        </w:tc>
        <w:tc>
          <w:tcPr>
            <w:tcW w:w="200" w:type="pct"/>
            <w:noWrap/>
          </w:tcPr>
          <w:p>
            <w:pPr/>
            <w:r>
              <w:rPr/>
              <w:t xml:space="preserve">35</w:t>
            </w:r>
          </w:p>
        </w:tc>
        <w:tc>
          <w:tcPr>
            <w:tcW w:w="350" w:type="pct"/>
            <w:noWrap/>
          </w:tcPr>
          <w:p>
            <w:pPr/>
            <w:r>
              <w:rPr/>
              <w:t xml:space="preserve">36</w:t>
            </w:r>
          </w:p>
        </w:tc>
        <w:tc>
          <w:tcPr>
            <w:tcW w:w="550" w:type="pct"/>
            <w:noWrap/>
          </w:tcPr>
          <w:p>
            <w:pPr/>
            <w:r>
              <w:rPr/>
              <w:t xml:space="preserve">37</w:t>
            </w:r>
          </w:p>
        </w:tc>
        <w:tc>
          <w:tcPr>
            <w:tcW w:w="350" w:type="pct"/>
            <w:noWrap/>
          </w:tcPr>
          <w:p>
            <w:pPr/>
            <w:r>
              <w:rPr/>
              <w:t xml:space="preserve">38</w:t>
            </w:r>
          </w:p>
        </w:tc>
        <w:tc>
          <w:tcPr>
            <w:tcW w:w="400" w:type="pct"/>
            <w:noWrap/>
          </w:tcPr>
          <w:p>
            <w:pPr/>
            <w:r>
              <w:rPr/>
              <w:t xml:space="preserve">39</w:t>
            </w:r>
          </w:p>
        </w:tc>
        <w:tc>
          <w:tcPr>
            <w:tcW w:w="400" w:type="pct"/>
            <w:noWrap/>
          </w:tcPr>
          <w:p>
            <w:pPr/>
            <w:r>
              <w:rPr/>
              <w:t xml:space="preserve">40</w:t>
            </w:r>
          </w:p>
        </w:tc>
        <w:tc>
          <w:tcPr>
            <w:tcW w:w="400" w:type="pct"/>
            <w:noWrap/>
          </w:tcPr>
          <w:p>
            <w:pPr/>
            <w:r>
              <w:rPr/>
              <w:t xml:space="preserve">41</w:t>
            </w:r>
          </w:p>
        </w:tc>
        <w:tc>
          <w:tcPr>
            <w:tcW w:w="350" w:type="pct"/>
            <w:noWrap/>
          </w:tcPr>
          <w:p>
            <w:pPr/>
            <w:r>
              <w:rPr/>
              <w:t xml:space="preserve">42</w:t>
            </w:r>
          </w:p>
        </w:tc>
      </w:tr>
      <w:tr>
        <w:trPr/>
        <w:tc>
          <w:tcPr>
            <w:tcW w:w="400" w:type="pct"/>
            <w:noWrap/>
          </w:tcPr>
          <w:p>
            <w:pPr/>
            <w:r>
              <w:rPr/>
              <w:t xml:space="preserve"> </w:t>
            </w:r>
          </w:p>
        </w:tc>
        <w:tc>
          <w:tcPr>
            <w:tcW w:w="30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200" w:type="pct"/>
            <w:noWrap/>
          </w:tcPr>
          <w:p>
            <w:pPr/>
            <w:r>
              <w:rPr/>
              <w:t xml:space="preserve"> </w:t>
            </w:r>
          </w:p>
        </w:tc>
        <w:tc>
          <w:tcPr>
            <w:tcW w:w="350" w:type="pct"/>
            <w:noWrap/>
          </w:tcPr>
          <w:p>
            <w:pPr/>
            <w:r>
              <w:rPr/>
              <w:t xml:space="preserve"> </w:t>
            </w:r>
          </w:p>
        </w:tc>
        <w:tc>
          <w:tcPr>
            <w:tcW w:w="550" w:type="pct"/>
            <w:noWrap/>
          </w:tcPr>
          <w:p>
            <w:pPr/>
            <w:r>
              <w:rPr/>
              <w:t xml:space="preserve"> </w:t>
            </w:r>
          </w:p>
        </w:tc>
        <w:tc>
          <w:tcPr>
            <w:tcW w:w="3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350" w:type="pct"/>
            <w:noWrap/>
          </w:tcPr>
          <w:p>
            <w:pPr/>
            <w:r>
              <w:rPr/>
              <w:t xml:space="preserve"> </w:t>
            </w:r>
          </w:p>
        </w:tc>
      </w:tr>
      <w:tr>
        <w:trPr/>
        <w:tc>
          <w:tcPr>
            <w:tcW w:w="400" w:type="pct"/>
            <w:noWrap/>
          </w:tcPr>
          <w:p>
            <w:pPr/>
            <w:r>
              <w:rPr/>
              <w:t xml:space="preserve"> </w:t>
            </w:r>
          </w:p>
        </w:tc>
        <w:tc>
          <w:tcPr>
            <w:tcW w:w="30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200" w:type="pct"/>
            <w:noWrap/>
          </w:tcPr>
          <w:p>
            <w:pPr/>
            <w:r>
              <w:rPr/>
              <w:t xml:space="preserve"> </w:t>
            </w:r>
          </w:p>
        </w:tc>
        <w:tc>
          <w:tcPr>
            <w:tcW w:w="350" w:type="pct"/>
            <w:noWrap/>
          </w:tcPr>
          <w:p>
            <w:pPr/>
            <w:r>
              <w:rPr/>
              <w:t xml:space="preserve"> </w:t>
            </w:r>
          </w:p>
        </w:tc>
        <w:tc>
          <w:tcPr>
            <w:tcW w:w="550" w:type="pct"/>
            <w:noWrap/>
          </w:tcPr>
          <w:p>
            <w:pPr/>
            <w:r>
              <w:rPr/>
              <w:t xml:space="preserve"> </w:t>
            </w:r>
          </w:p>
        </w:tc>
        <w:tc>
          <w:tcPr>
            <w:tcW w:w="3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350" w:type="pct"/>
            <w:noWrap/>
          </w:tcPr>
          <w:p>
            <w:pPr/>
            <w:r>
              <w:rPr/>
              <w:t xml:space="preserve"> </w:t>
            </w:r>
          </w:p>
        </w:tc>
      </w:tr>
      <w:tr>
        <w:trPr/>
        <w:tc>
          <w:tcPr>
            <w:tcW w:w="400" w:type="pct"/>
            <w:noWrap/>
          </w:tcPr>
          <w:p>
            <w:pPr/>
            <w:r>
              <w:rPr/>
              <w:t xml:space="preserve"> </w:t>
            </w:r>
          </w:p>
        </w:tc>
        <w:tc>
          <w:tcPr>
            <w:tcW w:w="300" w:type="pct"/>
            <w:noWrap/>
          </w:tcPr>
          <w:p>
            <w:pPr/>
            <w:r>
              <w:rPr/>
              <w:t xml:space="preserve"> </w:t>
            </w:r>
          </w:p>
        </w:tc>
        <w:tc>
          <w:tcPr>
            <w:tcW w:w="300" w:type="pct"/>
            <w:noWrap/>
          </w:tcPr>
          <w:p>
            <w:pPr/>
            <w:r>
              <w:rPr/>
              <w:t xml:space="preserve"> </w:t>
            </w:r>
          </w:p>
        </w:tc>
        <w:tc>
          <w:tcPr>
            <w:tcW w:w="350" w:type="pct"/>
            <w:noWrap/>
          </w:tcPr>
          <w:p>
            <w:pPr/>
            <w:r>
              <w:rPr/>
              <w:t xml:space="preserve"> </w:t>
            </w:r>
          </w:p>
        </w:tc>
        <w:tc>
          <w:tcPr>
            <w:tcW w:w="300" w:type="pct"/>
            <w:noWrap/>
          </w:tcPr>
          <w:p>
            <w:pPr/>
            <w:r>
              <w:rPr/>
              <w:t xml:space="preserve"> </w:t>
            </w:r>
          </w:p>
        </w:tc>
        <w:tc>
          <w:tcPr>
            <w:tcW w:w="200" w:type="pct"/>
            <w:noWrap/>
          </w:tcPr>
          <w:p>
            <w:pPr/>
            <w:r>
              <w:rPr/>
              <w:t xml:space="preserve"> </w:t>
            </w:r>
          </w:p>
        </w:tc>
        <w:tc>
          <w:tcPr>
            <w:tcW w:w="350" w:type="pct"/>
            <w:noWrap/>
          </w:tcPr>
          <w:p>
            <w:pPr/>
            <w:r>
              <w:rPr/>
              <w:t xml:space="preserve"> </w:t>
            </w:r>
          </w:p>
        </w:tc>
        <w:tc>
          <w:tcPr>
            <w:tcW w:w="550" w:type="pct"/>
            <w:noWrap/>
          </w:tcPr>
          <w:p>
            <w:pPr/>
            <w:r>
              <w:rPr/>
              <w:t xml:space="preserve"> </w:t>
            </w:r>
          </w:p>
        </w:tc>
        <w:tc>
          <w:tcPr>
            <w:tcW w:w="3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350" w:type="pct"/>
            <w:noWrap/>
          </w:tcPr>
          <w:p>
            <w:pPr/>
            <w:r>
              <w:rPr/>
              <w:t xml:space="preserve"> </w:t>
            </w:r>
          </w:p>
        </w:tc>
      </w:tr>
    </w:tbl>
    <w:p>
      <w:pPr/>
      <w:r>
        <w:rPr/>
        <w:t xml:space="preserve"> </w:t>
      </w:r>
    </w:p>
    <w:p>
      <w:pPr/>
      <w:r>
        <w:rPr>
          <w:b w:val="1"/>
          <w:bCs w:val="1"/>
          <w:u w:val="single"/>
        </w:rPr>
        <w:t xml:space="preserve"> </w:t>
      </w:r>
    </w:p>
    <w:p>
      <w:pPr/>
      <w:r>
        <w:rPr>
          <w:b w:val="1"/>
          <w:bCs w:val="1"/>
          <w:u w:val="single"/>
        </w:rPr>
        <w:t xml:space="preserve">Ձև N 3</w:t>
      </w:r>
    </w:p>
    <w:p>
      <w:pPr/>
      <w:r>
        <w:rPr/>
        <w:t xml:space="preserve"> </w:t>
      </w:r>
    </w:p>
    <w:tbl>
      <w:tblGrid>
        <w:gridCol w:w="5000" w:type="dxa"/>
        <w:gridCol w:w="4500" w:type="dxa"/>
      </w:tblGrid>
      <w:tblPr>
        <w:tblW w:w="5000" w:type="pct"/>
        <w:tblLayout w:type="autofit"/>
      </w:tblPr>
      <w:tr>
        <w:trPr/>
        <w:tc>
          <w:tcPr>
            <w:tcW w:w="5000" w:type="pct"/>
            <w:noWrap/>
          </w:tcPr>
          <w:p>
            <w:pPr/>
            <w:r>
              <w:rPr>
                <w:b w:val="1"/>
                <w:bCs w:val="1"/>
                <w:u w:val="single"/>
              </w:rPr>
              <w:t xml:space="preserve">Ձևաթղթի դիմային մասը</w:t>
            </w:r>
          </w:p>
        </w:tc>
        <w:tc>
          <w:tcPr>
            <w:tcW w:w="4500" w:type="dxa"/>
            <w:noWrap/>
          </w:tcPr>
          <w:p>
            <w:pPr/>
            <w:r>
              <w:rPr/>
              <w:t xml:space="preserve"> </w:t>
            </w:r>
          </w:p>
        </w:tc>
      </w:tr>
    </w:tbl>
    <w:p>
      <w:pPr/>
      <w:r>
        <w:rPr/>
        <w:t xml:space="preserve"> </w:t>
      </w:r>
    </w:p>
    <w:tbl>
      <w:tblGrid>
        <w:gridCol w:w="9750" w:type="dxa"/>
        <w:gridCol w:w="9750" w:type="dxa"/>
        <w:gridCol w:w="9750" w:type="dxa"/>
      </w:tblGrid>
      <w:tblPr>
        <w:tblW w:w="9750" w:type="dxa"/>
        <w:tblLayout w:type="autofit"/>
      </w:tblPr>
      <w:tr>
        <w:trPr/>
        <w:tc>
          <w:tcPr>
            <w:tcW w:w="9750" w:type="dxa"/>
            <w:noWrap/>
          </w:tcPr>
          <w:p>
            <w:pPr/>
            <w:r>
              <w:rPr/>
              <w:t xml:space="preserve">Մարզը՝</w:t>
            </w:r>
          </w:p>
        </w:tc>
        <w:tc>
          <w:tcPr>
            <w:tcW w:w="9750" w:type="dxa"/>
            <w:noWrap/>
          </w:tcPr>
          <w:tbl>
            <w:tblGrid>
              <w:gridCol w:w="3000" w:type="dxa"/>
            </w:tblGrid>
            <w:tblPr>
              <w:tblW w:w="3000" w:type="dxa"/>
              <w:tblLayout w:type="autofit"/>
            </w:tblPr>
            <w:tr>
              <w:trPr/>
              <w:tc>
                <w:tcPr>
                  <w:tcW w:w="3000" w:type="dxa"/>
                  <w:noWrap/>
                </w:tcPr>
                <w:p>
                  <w:pPr/>
                  <w:r>
                    <w:rPr/>
                    <w:t xml:space="preserve"> </w:t>
                  </w:r>
                </w:p>
              </w:tc>
            </w:tr>
          </w:tbl>
          <w:p>
            <w:pPr/>
            <w:r>
              <w:rPr/>
              <w:t xml:space="preserve">(անվանումը)</w:t>
            </w:r>
          </w:p>
        </w:tc>
        <w:tc>
          <w:tcPr>
            <w:tcW w:w="9750" w:type="dxa"/>
            <w:noWrap/>
          </w:tcPr>
          <w:tbl>
            <w:tblGrid>
              <w:gridCol w:w="2250" w:type="dxa"/>
            </w:tblGrid>
            <w:tblPr>
              <w:tblW w:w="2250" w:type="dxa"/>
              <w:tblLayout w:type="autofit"/>
            </w:tblPr>
            <w:tr>
              <w:trPr/>
              <w:tc>
                <w:tcPr>
                  <w:tcW w:w="2250" w:type="dxa"/>
                  <w:noWrap/>
                </w:tcPr>
                <w:p>
                  <w:pPr/>
                  <w:r>
                    <w:rPr/>
                    <w:t xml:space="preserve"> </w:t>
                  </w:r>
                </w:p>
              </w:tc>
            </w:tr>
          </w:tbl>
          <w:p>
            <w:pPr/>
            <w:r>
              <w:rPr/>
              <w:t xml:space="preserve">(ծածկագիրը)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Համայնքը (բնակավայրը, Երևան քաղաքում՝ վարչական շրջանը)՝</w:t>
            </w:r>
          </w:p>
        </w:tc>
        <w:tc>
          <w:tcPr>
            <w:tcW w:w="9750" w:type="dxa"/>
            <w:noWrap/>
          </w:tcPr>
          <w:tbl>
            <w:tblGrid>
              <w:gridCol w:w="3000" w:type="dxa"/>
            </w:tblGrid>
            <w:tblPr>
              <w:tblW w:w="3000" w:type="dxa"/>
              <w:tblLayout w:type="autofit"/>
            </w:tblPr>
            <w:tr>
              <w:trPr/>
              <w:tc>
                <w:tcPr>
                  <w:tcW w:w="3000" w:type="dxa"/>
                  <w:noWrap/>
                </w:tcPr>
                <w:p>
                  <w:pPr/>
                  <w:r>
                    <w:rPr/>
                    <w:t xml:space="preserve"> </w:t>
                  </w:r>
                </w:p>
              </w:tc>
            </w:tr>
          </w:tbl>
          <w:p>
            <w:pPr/>
            <w:r>
              <w:rPr/>
              <w:t xml:space="preserve">(անվանումը)</w:t>
            </w:r>
          </w:p>
        </w:tc>
        <w:tc>
          <w:tcPr>
            <w:tcW w:w="9750" w:type="dxa"/>
            <w:noWrap/>
          </w:tcPr>
          <w:tbl>
            <w:tblGrid>
              <w:gridCol w:w="2250" w:type="dxa"/>
            </w:tblGrid>
            <w:tblPr>
              <w:tblW w:w="2250" w:type="dxa"/>
              <w:tblLayout w:type="autofit"/>
            </w:tblPr>
            <w:tr>
              <w:trPr/>
              <w:tc>
                <w:tcPr>
                  <w:tcW w:w="2250" w:type="dxa"/>
                  <w:noWrap/>
                </w:tcPr>
                <w:p>
                  <w:pPr/>
                  <w:r>
                    <w:rPr/>
                    <w:t xml:space="preserve"> </w:t>
                  </w:r>
                </w:p>
              </w:tc>
            </w:tr>
          </w:tbl>
          <w:p>
            <w:pPr/>
            <w:r>
              <w:rPr/>
              <w:t xml:space="preserve">(ծածկագիրը)</w:t>
            </w:r>
          </w:p>
        </w:tc>
      </w:tr>
    </w:tbl>
    <w:p>
      <w:pPr/>
      <w:r>
        <w:rPr/>
        <w:t xml:space="preserve"> </w:t>
      </w:r>
    </w:p>
    <w:tbl>
      <w:tblGrid>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Գնահատումը՝</w:t>
            </w:r>
          </w:p>
        </w:tc>
        <w:tc>
          <w:tcPr>
            <w:tcW w:w="9750" w:type="dxa"/>
            <w:noWrap/>
          </w:tcPr>
          <w:p>
            <w:pPr/>
            <w:r>
              <w:rPr/>
              <w:t xml:space="preserve"> </w:t>
            </w:r>
          </w:p>
        </w:tc>
        <w:tc>
          <w:tcPr>
            <w:tcW w:w="9750" w:type="dxa"/>
            <w:noWrap/>
          </w:tcPr>
          <w:tbl>
            <w:tblGrid>
              <w:gridCol w:w="2250" w:type="dxa"/>
            </w:tblGrid>
            <w:tblPr>
              <w:tblW w:w="2250" w:type="dxa"/>
              <w:tblLayout w:type="autofit"/>
            </w:tblPr>
            <w:tr>
              <w:trPr/>
              <w:tc>
                <w:tcPr>
                  <w:tcW w:w="2250" w:type="dxa"/>
                  <w:noWrap/>
                </w:tcPr>
                <w:p>
                  <w:pPr/>
                  <w:r>
                    <w:rPr/>
                    <w:t xml:space="preserve"> </w:t>
                  </w:r>
                </w:p>
              </w:tc>
            </w:tr>
          </w:tbl>
          <w:p>
            <w:pPr/>
            <w:r>
              <w:rPr/>
              <w:t xml:space="preserve">(օրը, ամիսը, տարեթիվը)</w:t>
            </w:r>
          </w:p>
        </w:tc>
        <w:tc>
          <w:tcPr>
            <w:tcW w:w="9750" w:type="dxa"/>
            <w:noWrap/>
          </w:tcPr>
          <w:p>
            <w:pPr/>
            <w:r>
              <w:rPr/>
              <w:t xml:space="preserve"> </w:t>
            </w:r>
          </w:p>
        </w:tc>
        <w:tc>
          <w:tcPr>
            <w:tcW w:w="9750" w:type="dxa"/>
            <w:noWrap/>
          </w:tcPr>
          <w:p>
            <w:pPr/>
            <w:r>
              <w:rPr/>
              <w:t xml:space="preserve">դրությամբ</w:t>
            </w:r>
          </w:p>
        </w:tc>
      </w:tr>
    </w:tbl>
    <w:p>
      <w:pPr/>
      <w:r>
        <w:rPr/>
        <w:t xml:space="preserve"> </w:t>
      </w:r>
    </w:p>
    <w:p>
      <w:pPr/>
      <w:r>
        <w:rPr>
          <w:b w:val="1"/>
          <w:bCs w:val="1"/>
        </w:rPr>
        <w:t xml:space="preserve">ՏԵՂԵԿՈՒԹՅՈՒՆՆԵՐ</w:t>
      </w:r>
    </w:p>
    <w:p>
      <w:pPr/>
      <w:r>
        <w:rPr/>
        <w:t xml:space="preserve"> </w:t>
      </w:r>
    </w:p>
    <w:p>
      <w:pPr/>
      <w:r>
        <w:rPr>
          <w:b w:val="1"/>
          <w:bCs w:val="1"/>
        </w:rPr>
        <w:t xml:space="preserve">ԱՆՇԱՐԺ ԳՈՒՅՔԻ ՀԱՐԿՈՎ ՀԱՐԿՄԱՆ ՕԲՅԵԿՏ ՀԱՄԱՐՎՈՂ ԱՆՇԱՐԺ ԳՈՒՅՔԻ ԵՎ ԼԻԶԻՆԳԻ ԱՌԱՐԿԱ ՀԱՆԴԻՍԱՑՈՂ ԱՆՇԱՐԺ ԳՈՒՅՔԻ ՀԱՇՎԱՌՄԱՆ ՈՒ ԳՆԱՀԱՏՄԱՆ ՏՎՅԱԼՆԵՐԻ ՓՈՓՈԽՈՒԹՅՈՒՆՆԵՐԻ ՎԵՐԱԲԵՐՅԱԼ</w:t>
      </w:r>
    </w:p>
    <w:p>
      <w:pPr/>
      <w:r>
        <w:rPr/>
        <w:t xml:space="preserve"> </w:t>
      </w:r>
    </w:p>
    <w:tbl>
      <w:tblGrid>
        <w:gridCol w:w="100" w:type="dxa"/>
        <w:gridCol w:w="400" w:type="dxa"/>
        <w:gridCol w:w="300" w:type="dxa"/>
        <w:gridCol w:w="250" w:type="dxa"/>
        <w:gridCol w:w="400" w:type="dxa"/>
        <w:gridCol w:w="350" w:type="dxa"/>
        <w:gridCol w:w="300" w:type="dxa"/>
        <w:gridCol w:w="450" w:type="dxa"/>
        <w:gridCol w:w="400" w:type="dxa"/>
        <w:gridCol w:w="400" w:type="dxa"/>
        <w:gridCol w:w="400" w:type="dxa"/>
        <w:gridCol w:w="450" w:type="dxa"/>
        <w:gridCol w:w="450" w:type="dxa"/>
      </w:tblGrid>
      <w:tblPr>
        <w:tblW w:w="5000" w:type="pct"/>
        <w:tblLayout w:type="autofit"/>
      </w:tblPr>
      <w:tr>
        <w:trPr/>
        <w:tc>
          <w:tcPr>
            <w:tcW w:w="100" w:type="pct"/>
            <w:noWrap/>
          </w:tcPr>
          <w:p>
            <w:pPr/>
            <w:r>
              <w:rPr/>
              <w:t xml:space="preserve">հ/հ</w:t>
            </w:r>
          </w:p>
        </w:tc>
        <w:tc>
          <w:tcPr>
            <w:tcW w:w="400" w:type="pct"/>
            <w:noWrap/>
          </w:tcPr>
          <w:p>
            <w:pPr/>
            <w:r>
              <w:rPr/>
              <w:t xml:space="preserve">Արխիվային ծածկագիր</w:t>
            </w:r>
          </w:p>
        </w:tc>
        <w:tc>
          <w:tcPr>
            <w:tcW w:w="300" w:type="pct"/>
            <w:noWrap/>
          </w:tcPr>
          <w:p>
            <w:pPr/>
            <w:r>
              <w:rPr/>
              <w:t xml:space="preserve">Միավորի բանալի</w:t>
            </w:r>
          </w:p>
        </w:tc>
        <w:tc>
          <w:tcPr>
            <w:tcW w:w="4100" w:type="pct"/>
            <w:gridSpan w:val="10"/>
            <w:noWrap/>
          </w:tcPr>
          <w:p>
            <w:pPr/>
            <w:r>
              <w:rPr/>
              <w:t xml:space="preserve">Անշարժ գույքի սեփականատիրոջ (համասեփականատիրոջ) կամ պետական սեփականություն հանդիսացող հողի մշտական օգտագործողի կամ լիզինգառուի (լիզինգառուների)՝</w:t>
            </w:r>
          </w:p>
        </w:tc>
      </w:tr>
      <w:tr>
        <w:trPr/>
        <w:tc>
          <w:tcPr>
            <w:tcW w:w="1800" w:type="pct"/>
            <w:gridSpan w:val="5"/>
            <w:noWrap/>
          </w:tcPr>
          <w:p>
            <w:pPr/>
            <w:r>
              <w:rPr/>
              <w:t xml:space="preserve">Ֆիզիկական անձի հաշվառման (գրանցման) կամ կազմակերպության գտնվելու վայրի հասցեն</w:t>
            </w:r>
          </w:p>
        </w:tc>
        <w:tc>
          <w:tcPr>
            <w:tcW w:w="400" w:type="pct"/>
            <w:noWrap/>
          </w:tcPr>
          <w:p>
            <w:pPr/>
            <w:r>
              <w:rPr/>
              <w:t xml:space="preserve">Ֆիզիկական անձի ազգան</w:t>
            </w:r>
          </w:p>
          <w:p>
            <w:pPr/>
            <w:r>
              <w:rPr/>
              <w:t xml:space="preserve">ունը կամ կազմա-կերպության անվան</w:t>
            </w:r>
          </w:p>
          <w:p>
            <w:pPr/>
            <w:r>
              <w:rPr/>
              <w:t xml:space="preserve">ումը</w:t>
            </w:r>
          </w:p>
        </w:tc>
        <w:tc>
          <w:tcPr>
            <w:tcW w:w="400" w:type="pct"/>
            <w:noWrap/>
          </w:tcPr>
          <w:p>
            <w:pPr/>
            <w:r>
              <w:rPr/>
              <w:t xml:space="preserve">Ֆիզիկական անձի անունը</w:t>
            </w:r>
          </w:p>
        </w:tc>
        <w:tc>
          <w:tcPr>
            <w:tcW w:w="400" w:type="pct"/>
            <w:noWrap/>
          </w:tcPr>
          <w:p>
            <w:pPr/>
            <w:r>
              <w:rPr/>
              <w:t xml:space="preserve">Ֆիզիկա-կան անձի հայր-անունը</w:t>
            </w:r>
          </w:p>
        </w:tc>
        <w:tc>
          <w:tcPr>
            <w:tcW w:w="450" w:type="pct"/>
            <w:noWrap/>
          </w:tcPr>
          <w:p>
            <w:pPr/>
            <w:r>
              <w:rPr/>
              <w:t xml:space="preserve">Ֆիզիկական անձի անձը հաստատող փաստաթղթի տվյալները կամ կազմա-կերպության պետական ռեգիստրում գրանց</w:t>
            </w:r>
          </w:p>
          <w:p>
            <w:pPr/>
            <w:r>
              <w:rPr/>
              <w:t xml:space="preserve">ման համարը</w:t>
            </w:r>
          </w:p>
        </w:tc>
        <w:tc>
          <w:tcPr>
            <w:tcW w:w="450" w:type="pct"/>
            <w:noWrap/>
          </w:tcPr>
          <w:p>
            <w:pPr/>
            <w:r>
              <w:rPr/>
              <w:t xml:space="preserve">Ֆիզիկա-կան անձի հանրա-</w:t>
            </w:r>
          </w:p>
          <w:p>
            <w:pPr/>
            <w:r>
              <w:rPr/>
              <w:t xml:space="preserve">յին ծառայութ-յան համարա-նիշը կամ կազմա-կերպության ՀՎՀՀ-ն</w:t>
            </w:r>
          </w:p>
        </w:tc>
      </w:tr>
      <w:tr>
        <w:trPr/>
        <w:tc>
          <w:tcPr>
            <w:tcW w:w="250" w:type="pct"/>
            <w:noWrap/>
          </w:tcPr>
          <w:p>
            <w:pPr/>
            <w:r>
              <w:rPr/>
              <w:t xml:space="preserve">Մարզը</w:t>
            </w:r>
          </w:p>
        </w:tc>
        <w:tc>
          <w:tcPr>
            <w:tcW w:w="400" w:type="pct"/>
            <w:noWrap/>
          </w:tcPr>
          <w:p>
            <w:pPr/>
            <w:r>
              <w:rPr/>
              <w:t xml:space="preserve">Համայնքը</w:t>
            </w:r>
            <w:br/>
            <w:r>
              <w:rPr/>
              <w:t xml:space="preserve"> /վարչական շրջանը/</w:t>
            </w:r>
          </w:p>
        </w:tc>
        <w:tc>
          <w:tcPr>
            <w:tcW w:w="350" w:type="pct"/>
            <w:noWrap/>
          </w:tcPr>
          <w:p>
            <w:pPr/>
            <w:r>
              <w:rPr/>
              <w:t xml:space="preserve">Փողոցը, նրբանցքը, փակուղին և այլն</w:t>
            </w:r>
          </w:p>
        </w:tc>
        <w:tc>
          <w:tcPr>
            <w:tcW w:w="300" w:type="pct"/>
            <w:noWrap/>
          </w:tcPr>
          <w:p>
            <w:pPr/>
            <w:r>
              <w:rPr/>
              <w:t xml:space="preserve">Շենքը</w:t>
            </w:r>
            <w:br/>
            <w:r>
              <w:rPr/>
              <w:t xml:space="preserve"> /տունը (համարը)</w:t>
            </w:r>
          </w:p>
        </w:tc>
        <w:tc>
          <w:tcPr>
            <w:tcW w:w="450" w:type="pct"/>
            <w:noWrap/>
          </w:tcPr>
          <w:p>
            <w:pPr/>
            <w:r>
              <w:rPr/>
              <w:t xml:space="preserve">Բնակարանը (համարը)</w:t>
            </w:r>
          </w:p>
        </w:tc>
      </w:tr>
      <w:tr>
        <w:trPr/>
        <w:tc>
          <w:tcPr>
            <w:tcW w:w="100" w:type="pct"/>
            <w:noWrap/>
          </w:tcPr>
          <w:p>
            <w:pPr/>
            <w:r>
              <w:rPr/>
              <w:t xml:space="preserve">1</w:t>
            </w:r>
          </w:p>
        </w:tc>
        <w:tc>
          <w:tcPr>
            <w:tcW w:w="400" w:type="pct"/>
            <w:noWrap/>
          </w:tcPr>
          <w:p>
            <w:pPr/>
            <w:r>
              <w:rPr/>
              <w:t xml:space="preserve">2</w:t>
            </w:r>
          </w:p>
        </w:tc>
        <w:tc>
          <w:tcPr>
            <w:tcW w:w="300" w:type="pct"/>
            <w:noWrap/>
          </w:tcPr>
          <w:p>
            <w:pPr/>
            <w:r>
              <w:rPr/>
              <w:t xml:space="preserve">3</w:t>
            </w:r>
          </w:p>
        </w:tc>
        <w:tc>
          <w:tcPr>
            <w:tcW w:w="250" w:type="pct"/>
            <w:noWrap/>
          </w:tcPr>
          <w:p>
            <w:pPr/>
            <w:r>
              <w:rPr/>
              <w:t xml:space="preserve">4</w:t>
            </w:r>
          </w:p>
        </w:tc>
        <w:tc>
          <w:tcPr>
            <w:tcW w:w="400" w:type="pct"/>
            <w:noWrap/>
          </w:tcPr>
          <w:p>
            <w:pPr/>
            <w:r>
              <w:rPr/>
              <w:t xml:space="preserve">5</w:t>
            </w:r>
          </w:p>
        </w:tc>
        <w:tc>
          <w:tcPr>
            <w:tcW w:w="350" w:type="pct"/>
            <w:noWrap/>
          </w:tcPr>
          <w:p>
            <w:pPr/>
            <w:r>
              <w:rPr/>
              <w:t xml:space="preserve">6</w:t>
            </w:r>
          </w:p>
        </w:tc>
        <w:tc>
          <w:tcPr>
            <w:tcW w:w="300" w:type="pct"/>
            <w:noWrap/>
          </w:tcPr>
          <w:p>
            <w:pPr/>
            <w:r>
              <w:rPr/>
              <w:t xml:space="preserve">7</w:t>
            </w:r>
          </w:p>
        </w:tc>
        <w:tc>
          <w:tcPr>
            <w:tcW w:w="450" w:type="pct"/>
            <w:noWrap/>
          </w:tcPr>
          <w:p>
            <w:pPr/>
            <w:r>
              <w:rPr/>
              <w:t xml:space="preserve">8</w:t>
            </w:r>
          </w:p>
        </w:tc>
        <w:tc>
          <w:tcPr>
            <w:tcW w:w="400" w:type="pct"/>
            <w:noWrap/>
          </w:tcPr>
          <w:p>
            <w:pPr/>
            <w:r>
              <w:rPr/>
              <w:t xml:space="preserve">9</w:t>
            </w:r>
          </w:p>
        </w:tc>
        <w:tc>
          <w:tcPr>
            <w:tcW w:w="400" w:type="pct"/>
            <w:noWrap/>
          </w:tcPr>
          <w:p>
            <w:pPr/>
            <w:r>
              <w:rPr/>
              <w:t xml:space="preserve">10</w:t>
            </w:r>
          </w:p>
        </w:tc>
        <w:tc>
          <w:tcPr>
            <w:tcW w:w="400" w:type="pct"/>
            <w:noWrap/>
          </w:tcPr>
          <w:p>
            <w:pPr/>
            <w:r>
              <w:rPr/>
              <w:t xml:space="preserve">11</w:t>
            </w:r>
          </w:p>
        </w:tc>
        <w:tc>
          <w:tcPr>
            <w:tcW w:w="450" w:type="pct"/>
            <w:noWrap/>
          </w:tcPr>
          <w:p>
            <w:pPr/>
            <w:r>
              <w:rPr/>
              <w:t xml:space="preserve">12</w:t>
            </w:r>
          </w:p>
        </w:tc>
        <w:tc>
          <w:tcPr>
            <w:tcW w:w="450" w:type="pct"/>
            <w:noWrap/>
          </w:tcPr>
          <w:p>
            <w:pPr/>
            <w:r>
              <w:rPr/>
              <w:t xml:space="preserve">13</w:t>
            </w:r>
          </w:p>
        </w:tc>
      </w:tr>
      <w:tr>
        <w:trPr/>
        <w:tc>
          <w:tcPr>
            <w:tcW w:w="100" w:type="pct"/>
            <w:noWrap/>
          </w:tcPr>
          <w:p>
            <w:pPr/>
            <w:r>
              <w:rPr/>
              <w:t xml:space="preserve">1</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350" w:type="pct"/>
            <w:noWrap/>
          </w:tcPr>
          <w:p>
            <w:pPr/>
            <w:r>
              <w:rPr/>
              <w:t xml:space="preserve"> </w:t>
            </w:r>
          </w:p>
        </w:tc>
        <w:tc>
          <w:tcPr>
            <w:tcW w:w="300" w:type="pct"/>
            <w:noWrap/>
          </w:tcPr>
          <w:p>
            <w:pPr/>
            <w:r>
              <w:rPr/>
              <w:t xml:space="preserve"> </w:t>
            </w:r>
          </w:p>
        </w:tc>
        <w:tc>
          <w:tcPr>
            <w:tcW w:w="4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50" w:type="pct"/>
            <w:noWrap/>
          </w:tcPr>
          <w:p>
            <w:pPr/>
            <w:r>
              <w:rPr/>
              <w:t xml:space="preserve"> </w:t>
            </w:r>
          </w:p>
        </w:tc>
        <w:tc>
          <w:tcPr>
            <w:tcW w:w="450" w:type="pct"/>
            <w:noWrap/>
          </w:tcPr>
          <w:p>
            <w:pPr/>
            <w:r>
              <w:rPr/>
              <w:t xml:space="preserve"> </w:t>
            </w:r>
          </w:p>
        </w:tc>
      </w:tr>
      <w:tr>
        <w:trPr/>
        <w:tc>
          <w:tcPr>
            <w:tcW w:w="100" w:type="pct"/>
            <w:noWrap/>
          </w:tcPr>
          <w:p>
            <w:pPr/>
            <w:r>
              <w:rPr/>
              <w:t xml:space="preserve">2</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350" w:type="pct"/>
            <w:noWrap/>
          </w:tcPr>
          <w:p>
            <w:pPr/>
            <w:r>
              <w:rPr/>
              <w:t xml:space="preserve"> </w:t>
            </w:r>
          </w:p>
        </w:tc>
        <w:tc>
          <w:tcPr>
            <w:tcW w:w="300" w:type="pct"/>
            <w:noWrap/>
          </w:tcPr>
          <w:p>
            <w:pPr/>
            <w:r>
              <w:rPr/>
              <w:t xml:space="preserve"> </w:t>
            </w:r>
          </w:p>
        </w:tc>
        <w:tc>
          <w:tcPr>
            <w:tcW w:w="4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50" w:type="pct"/>
            <w:noWrap/>
          </w:tcPr>
          <w:p>
            <w:pPr/>
            <w:r>
              <w:rPr/>
              <w:t xml:space="preserve"> </w:t>
            </w:r>
          </w:p>
        </w:tc>
        <w:tc>
          <w:tcPr>
            <w:tcW w:w="450" w:type="pct"/>
            <w:noWrap/>
          </w:tcPr>
          <w:p>
            <w:pPr/>
            <w:r>
              <w:rPr/>
              <w:t xml:space="preserve"> </w:t>
            </w:r>
          </w:p>
        </w:tc>
      </w:tr>
      <w:tr>
        <w:trPr/>
        <w:tc>
          <w:tcPr>
            <w:tcW w:w="100" w:type="pct"/>
            <w:noWrap/>
          </w:tcPr>
          <w:p>
            <w:pPr/>
            <w:r>
              <w:rPr/>
              <w:t xml:space="preserve">3</w:t>
            </w:r>
          </w:p>
        </w:tc>
        <w:tc>
          <w:tcPr>
            <w:tcW w:w="400" w:type="pct"/>
            <w:noWrap/>
          </w:tcPr>
          <w:p>
            <w:pPr/>
            <w:r>
              <w:rPr/>
              <w:t xml:space="preserve"> </w:t>
            </w:r>
          </w:p>
        </w:tc>
        <w:tc>
          <w:tcPr>
            <w:tcW w:w="300" w:type="pct"/>
            <w:noWrap/>
          </w:tcPr>
          <w:p>
            <w:pPr/>
            <w:r>
              <w:rPr/>
              <w:t xml:space="preserve"> </w:t>
            </w:r>
          </w:p>
        </w:tc>
        <w:tc>
          <w:tcPr>
            <w:tcW w:w="250" w:type="pct"/>
            <w:noWrap/>
          </w:tcPr>
          <w:p>
            <w:pPr/>
            <w:r>
              <w:rPr/>
              <w:t xml:space="preserve"> </w:t>
            </w:r>
          </w:p>
        </w:tc>
        <w:tc>
          <w:tcPr>
            <w:tcW w:w="400" w:type="pct"/>
            <w:noWrap/>
          </w:tcPr>
          <w:p>
            <w:pPr/>
            <w:r>
              <w:rPr/>
              <w:t xml:space="preserve"> </w:t>
            </w:r>
          </w:p>
        </w:tc>
        <w:tc>
          <w:tcPr>
            <w:tcW w:w="350" w:type="pct"/>
            <w:noWrap/>
          </w:tcPr>
          <w:p>
            <w:pPr/>
            <w:r>
              <w:rPr/>
              <w:t xml:space="preserve"> </w:t>
            </w:r>
          </w:p>
        </w:tc>
        <w:tc>
          <w:tcPr>
            <w:tcW w:w="300" w:type="pct"/>
            <w:noWrap/>
          </w:tcPr>
          <w:p>
            <w:pPr/>
            <w:r>
              <w:rPr/>
              <w:t xml:space="preserve"> </w:t>
            </w:r>
          </w:p>
        </w:tc>
        <w:tc>
          <w:tcPr>
            <w:tcW w:w="45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50" w:type="pct"/>
            <w:noWrap/>
          </w:tcPr>
          <w:p>
            <w:pPr/>
            <w:r>
              <w:rPr/>
              <w:t xml:space="preserve"> </w:t>
            </w:r>
          </w:p>
        </w:tc>
        <w:tc>
          <w:tcPr>
            <w:tcW w:w="450" w:type="pct"/>
            <w:noWrap/>
          </w:tcPr>
          <w:p>
            <w:pPr/>
            <w:r>
              <w:rPr/>
              <w:t xml:space="preserve"> </w:t>
            </w:r>
          </w:p>
        </w:tc>
      </w:tr>
    </w:tbl>
    <w:p>
      <w:pPr/>
      <w:r>
        <w:rPr/>
        <w:t xml:space="preserve"> </w:t>
      </w:r>
    </w:p>
    <w:tbl>
      <w:tblGrid>
        <w:gridCol w:w="600" w:type="dxa"/>
        <w:gridCol w:w="350" w:type="dxa"/>
        <w:gridCol w:w="450" w:type="dxa"/>
        <w:gridCol w:w="400" w:type="dxa"/>
        <w:gridCol w:w="350" w:type="dxa"/>
        <w:gridCol w:w="400" w:type="dxa"/>
        <w:gridCol w:w="450" w:type="dxa"/>
        <w:gridCol w:w="500" w:type="dxa"/>
        <w:gridCol w:w="550" w:type="dxa"/>
        <w:gridCol w:w="450" w:type="dxa"/>
        <w:gridCol w:w="300" w:type="dxa"/>
        <w:gridCol w:w="0" w:type="dxa"/>
      </w:tblGrid>
      <w:tblPr>
        <w:tblW w:w="5000" w:type="pct"/>
        <w:tblLayout w:type="autofit"/>
      </w:tblPr>
      <w:tr>
        <w:trPr/>
        <w:tc>
          <w:tcPr>
            <w:tcW w:w="1400" w:type="pct"/>
            <w:gridSpan w:val="3"/>
            <w:noWrap/>
          </w:tcPr>
          <w:p>
            <w:pPr/>
            <w:r>
              <w:rPr/>
              <w:t xml:space="preserve">Անշարժ գույքի գտնվելու վայրի հասցեն</w:t>
            </w:r>
          </w:p>
        </w:tc>
        <w:tc>
          <w:tcPr>
            <w:tcW w:w="3550" w:type="pct"/>
            <w:gridSpan w:val="8"/>
            <w:noWrap/>
          </w:tcPr>
          <w:p>
            <w:pPr/>
            <w:r>
              <w:rPr/>
              <w:t xml:space="preserve">Հողամասի տվյալները՝</w:t>
            </w:r>
          </w:p>
        </w:tc>
        <w:tc>
          <w:tcPr>
            <w:tcW w:w="0" w:type="dxa"/>
            <w:noWrap/>
          </w:tcPr>
          <w:p>
            <w:pPr/>
            <w:r>
              <w:rPr/>
              <w:t xml:space="preserve"> </w:t>
            </w:r>
          </w:p>
        </w:tc>
      </w:tr>
      <w:tr>
        <w:trPr/>
        <w:tc>
          <w:tcPr>
            <w:tcW w:w="600" w:type="pct"/>
            <w:noWrap/>
          </w:tcPr>
          <w:p>
            <w:pPr/>
            <w:r>
              <w:rPr/>
              <w:t xml:space="preserve">Փողոցը, նրբանցքը, փակուղին և այլն</w:t>
            </w:r>
          </w:p>
        </w:tc>
        <w:tc>
          <w:tcPr>
            <w:tcW w:w="350" w:type="pct"/>
            <w:noWrap/>
          </w:tcPr>
          <w:p>
            <w:pPr/>
            <w:r>
              <w:rPr/>
              <w:t xml:space="preserve">Շենքը</w:t>
            </w:r>
            <w:br/>
            <w:r>
              <w:rPr/>
              <w:t xml:space="preserve"> /տունը (համարը)</w:t>
            </w:r>
          </w:p>
        </w:tc>
        <w:tc>
          <w:tcPr>
            <w:tcW w:w="450" w:type="pct"/>
            <w:noWrap/>
          </w:tcPr>
          <w:p>
            <w:pPr/>
            <w:r>
              <w:rPr/>
              <w:t xml:space="preserve">Շինութ-</w:t>
            </w:r>
          </w:p>
          <w:p>
            <w:pPr/>
            <w:r>
              <w:rPr/>
              <w:t xml:space="preserve">յունը, բնակարանը (համարը)</w:t>
            </w:r>
          </w:p>
        </w:tc>
        <w:tc>
          <w:tcPr>
            <w:tcW w:w="400" w:type="pct"/>
            <w:noWrap/>
          </w:tcPr>
          <w:p>
            <w:pPr/>
            <w:r>
              <w:rPr/>
              <w:t xml:space="preserve">Կադաս-տրային ծածկագիրը</w:t>
            </w:r>
          </w:p>
        </w:tc>
        <w:tc>
          <w:tcPr>
            <w:tcW w:w="350" w:type="pct"/>
            <w:noWrap/>
          </w:tcPr>
          <w:p>
            <w:pPr/>
            <w:r>
              <w:rPr/>
              <w:t xml:space="preserve">Նպա-</w:t>
            </w:r>
          </w:p>
          <w:p>
            <w:pPr/>
            <w:r>
              <w:rPr/>
              <w:t xml:space="preserve">տա-կային նշա</w:t>
            </w:r>
          </w:p>
          <w:p>
            <w:pPr/>
            <w:r>
              <w:rPr/>
              <w:t xml:space="preserve">նա-կությունը</w:t>
            </w:r>
          </w:p>
        </w:tc>
        <w:tc>
          <w:tcPr>
            <w:tcW w:w="400" w:type="pct"/>
            <w:noWrap/>
          </w:tcPr>
          <w:p>
            <w:pPr/>
            <w:r>
              <w:rPr/>
              <w:t xml:space="preserve">Գործ-</w:t>
            </w:r>
          </w:p>
          <w:p>
            <w:pPr/>
            <w:r>
              <w:rPr/>
              <w:t xml:space="preserve">առնական նշանա-կութ-</w:t>
            </w:r>
          </w:p>
          <w:p>
            <w:pPr/>
            <w:r>
              <w:rPr/>
              <w:t xml:space="preserve">յունը կամ հողատեսքը</w:t>
            </w:r>
          </w:p>
        </w:tc>
        <w:tc>
          <w:tcPr>
            <w:tcW w:w="450" w:type="pct"/>
            <w:noWrap/>
          </w:tcPr>
          <w:p>
            <w:pPr/>
            <w:r>
              <w:rPr/>
              <w:t xml:space="preserve"> Հողակա-դաստրային գնահատման շրջանը</w:t>
            </w:r>
          </w:p>
        </w:tc>
        <w:tc>
          <w:tcPr>
            <w:tcW w:w="500" w:type="pct"/>
            <w:noWrap/>
          </w:tcPr>
          <w:p>
            <w:pPr/>
            <w:r>
              <w:rPr/>
              <w:t xml:space="preserve">Գյուղա-տնտեսական նշանակության հողատեսքի գնահատման խումբը</w:t>
            </w:r>
          </w:p>
        </w:tc>
        <w:tc>
          <w:tcPr>
            <w:tcW w:w="550" w:type="pct"/>
            <w:noWrap/>
          </w:tcPr>
          <w:p>
            <w:pPr/>
            <w:r>
              <w:rPr/>
              <w:t xml:space="preserve">Ոչ գյուղա-տնտեսական նշանակության հողամասի տարածա-գնահատման (գտնվելու վայրի) գոտին</w:t>
            </w:r>
          </w:p>
        </w:tc>
        <w:tc>
          <w:tcPr>
            <w:tcW w:w="450" w:type="pct"/>
            <w:noWrap/>
          </w:tcPr>
          <w:p>
            <w:pPr/>
            <w:r>
              <w:rPr/>
              <w:t xml:space="preserve">Գնահատվող հողամասի չափը՝ (հեկտար)</w:t>
            </w:r>
          </w:p>
        </w:tc>
        <w:tc>
          <w:tcPr>
            <w:tcW w:w="300" w:type="pct"/>
            <w:noWrap/>
          </w:tcPr>
          <w:p>
            <w:pPr/>
            <w:r>
              <w:rPr/>
              <w:t xml:space="preserve">Կարգա-վիճակը</w:t>
            </w:r>
          </w:p>
        </w:tc>
        <w:tc>
          <w:tcPr>
            <w:tcW w:w="0" w:type="dxa"/>
            <w:noWrap/>
          </w:tcPr>
          <w:p>
            <w:pPr/>
            <w:r>
              <w:rPr/>
              <w:t xml:space="preserve"> </w:t>
            </w:r>
          </w:p>
        </w:tc>
      </w:tr>
      <w:tr>
        <w:trPr/>
        <w:tc>
          <w:tcPr>
            <w:tcW w:w="0" w:type="dxa"/>
            <w:noWrap/>
          </w:tcPr>
          <w:p>
            <w:pPr/>
            <w:r>
              <w:rPr/>
              <w:t xml:space="preserve"> </w:t>
            </w:r>
          </w:p>
        </w:tc>
      </w:tr>
      <w:tr>
        <w:trPr/>
        <w:tc>
          <w:tcPr>
            <w:tcW w:w="600" w:type="pct"/>
            <w:noWrap/>
          </w:tcPr>
          <w:p>
            <w:pPr/>
            <w:r>
              <w:rPr/>
              <w:t xml:space="preserve">14</w:t>
            </w:r>
          </w:p>
        </w:tc>
        <w:tc>
          <w:tcPr>
            <w:tcW w:w="350" w:type="pct"/>
            <w:noWrap/>
          </w:tcPr>
          <w:p>
            <w:pPr/>
            <w:r>
              <w:rPr/>
              <w:t xml:space="preserve">15</w:t>
            </w:r>
          </w:p>
        </w:tc>
        <w:tc>
          <w:tcPr>
            <w:tcW w:w="450" w:type="pct"/>
            <w:noWrap/>
          </w:tcPr>
          <w:p>
            <w:pPr/>
            <w:r>
              <w:rPr/>
              <w:t xml:space="preserve">16</w:t>
            </w:r>
          </w:p>
        </w:tc>
        <w:tc>
          <w:tcPr>
            <w:tcW w:w="400" w:type="pct"/>
            <w:noWrap/>
          </w:tcPr>
          <w:p>
            <w:pPr/>
            <w:r>
              <w:rPr/>
              <w:t xml:space="preserve">17</w:t>
            </w:r>
          </w:p>
        </w:tc>
        <w:tc>
          <w:tcPr>
            <w:tcW w:w="350" w:type="pct"/>
            <w:noWrap/>
          </w:tcPr>
          <w:p>
            <w:pPr/>
            <w:r>
              <w:rPr/>
              <w:t xml:space="preserve">18</w:t>
            </w:r>
          </w:p>
        </w:tc>
        <w:tc>
          <w:tcPr>
            <w:tcW w:w="400" w:type="pct"/>
            <w:noWrap/>
          </w:tcPr>
          <w:p>
            <w:pPr/>
            <w:r>
              <w:rPr/>
              <w:t xml:space="preserve">19</w:t>
            </w:r>
          </w:p>
        </w:tc>
        <w:tc>
          <w:tcPr>
            <w:tcW w:w="450" w:type="pct"/>
            <w:noWrap/>
          </w:tcPr>
          <w:p>
            <w:pPr/>
            <w:r>
              <w:rPr/>
              <w:t xml:space="preserve">20</w:t>
            </w:r>
          </w:p>
        </w:tc>
        <w:tc>
          <w:tcPr>
            <w:tcW w:w="500" w:type="pct"/>
            <w:noWrap/>
          </w:tcPr>
          <w:p>
            <w:pPr/>
            <w:r>
              <w:rPr/>
              <w:t xml:space="preserve">21</w:t>
            </w:r>
          </w:p>
        </w:tc>
        <w:tc>
          <w:tcPr>
            <w:tcW w:w="550" w:type="pct"/>
            <w:noWrap/>
          </w:tcPr>
          <w:p>
            <w:pPr/>
            <w:r>
              <w:rPr/>
              <w:t xml:space="preserve">22</w:t>
            </w:r>
          </w:p>
        </w:tc>
        <w:tc>
          <w:tcPr>
            <w:tcW w:w="450" w:type="pct"/>
            <w:noWrap/>
          </w:tcPr>
          <w:p>
            <w:pPr/>
            <w:r>
              <w:rPr/>
              <w:t xml:space="preserve">23</w:t>
            </w:r>
          </w:p>
        </w:tc>
        <w:tc>
          <w:tcPr>
            <w:tcW w:w="300" w:type="pct"/>
            <w:noWrap/>
          </w:tcPr>
          <w:p>
            <w:pPr/>
            <w:r>
              <w:rPr/>
              <w:t xml:space="preserve">24</w:t>
            </w:r>
          </w:p>
        </w:tc>
        <w:tc>
          <w:tcPr>
            <w:tcW w:w="0" w:type="dxa"/>
            <w:noWrap/>
          </w:tcPr>
          <w:p>
            <w:pPr/>
            <w:r>
              <w:rPr/>
              <w:t xml:space="preserve"> </w:t>
            </w:r>
          </w:p>
        </w:tc>
      </w:tr>
      <w:tr>
        <w:trPr/>
        <w:tc>
          <w:tcPr>
            <w:tcW w:w="600" w:type="pct"/>
            <w:noWrap/>
          </w:tcPr>
          <w:p>
            <w:pPr/>
            <w:r>
              <w:rPr/>
              <w:t xml:space="preserve"> </w:t>
            </w:r>
          </w:p>
        </w:tc>
        <w:tc>
          <w:tcPr>
            <w:tcW w:w="350" w:type="pct"/>
            <w:noWrap/>
          </w:tcPr>
          <w:p>
            <w:pPr/>
            <w:r>
              <w:rPr/>
              <w:t xml:space="preserve"> </w:t>
            </w:r>
          </w:p>
        </w:tc>
        <w:tc>
          <w:tcPr>
            <w:tcW w:w="450" w:type="pct"/>
            <w:noWrap/>
          </w:tcPr>
          <w:p>
            <w:pPr/>
            <w:r>
              <w:rPr/>
              <w:t xml:space="preserve"> </w:t>
            </w:r>
          </w:p>
        </w:tc>
        <w:tc>
          <w:tcPr>
            <w:tcW w:w="400" w:type="pct"/>
            <w:noWrap/>
          </w:tcPr>
          <w:p>
            <w:pPr/>
            <w:r>
              <w:rPr/>
              <w:t xml:space="preserve"> </w:t>
            </w:r>
          </w:p>
        </w:tc>
        <w:tc>
          <w:tcPr>
            <w:tcW w:w="350" w:type="pct"/>
            <w:noWrap/>
          </w:tcPr>
          <w:p>
            <w:pPr/>
            <w:r>
              <w:rPr/>
              <w:t xml:space="preserve"> </w:t>
            </w:r>
          </w:p>
        </w:tc>
        <w:tc>
          <w:tcPr>
            <w:tcW w:w="400" w:type="pct"/>
            <w:noWrap/>
          </w:tcPr>
          <w:p>
            <w:pPr/>
            <w:r>
              <w:rPr/>
              <w:t xml:space="preserve"> </w:t>
            </w:r>
          </w:p>
        </w:tc>
        <w:tc>
          <w:tcPr>
            <w:tcW w:w="450" w:type="pct"/>
            <w:noWrap/>
          </w:tcPr>
          <w:p>
            <w:pPr/>
            <w:r>
              <w:rPr/>
              <w:t xml:space="preserve"> </w:t>
            </w:r>
          </w:p>
        </w:tc>
        <w:tc>
          <w:tcPr>
            <w:tcW w:w="500" w:type="pct"/>
            <w:noWrap/>
          </w:tcPr>
          <w:p>
            <w:pPr/>
            <w:r>
              <w:rPr/>
              <w:t xml:space="preserve"> </w:t>
            </w:r>
          </w:p>
        </w:tc>
        <w:tc>
          <w:tcPr>
            <w:tcW w:w="550" w:type="pct"/>
            <w:noWrap/>
          </w:tcPr>
          <w:p>
            <w:pPr/>
            <w:r>
              <w:rPr/>
              <w:t xml:space="preserve"> </w:t>
            </w:r>
          </w:p>
        </w:tc>
        <w:tc>
          <w:tcPr>
            <w:tcW w:w="450" w:type="pct"/>
            <w:noWrap/>
          </w:tcPr>
          <w:p>
            <w:pPr/>
            <w:r>
              <w:rPr/>
              <w:t xml:space="preserve"> </w:t>
            </w:r>
          </w:p>
        </w:tc>
        <w:tc>
          <w:tcPr>
            <w:tcW w:w="300" w:type="pct"/>
            <w:noWrap/>
          </w:tcPr>
          <w:p>
            <w:pPr/>
            <w:r>
              <w:rPr/>
              <w:t xml:space="preserve"> </w:t>
            </w:r>
          </w:p>
        </w:tc>
        <w:tc>
          <w:tcPr>
            <w:tcW w:w="0" w:type="dxa"/>
            <w:noWrap/>
          </w:tcPr>
          <w:p>
            <w:pPr/>
            <w:r>
              <w:rPr/>
              <w:t xml:space="preserve"> </w:t>
            </w:r>
          </w:p>
        </w:tc>
      </w:tr>
      <w:tr>
        <w:trPr/>
        <w:tc>
          <w:tcPr>
            <w:tcW w:w="600" w:type="pct"/>
            <w:noWrap/>
          </w:tcPr>
          <w:p>
            <w:pPr/>
            <w:r>
              <w:rPr/>
              <w:t xml:space="preserve"> </w:t>
            </w:r>
          </w:p>
        </w:tc>
        <w:tc>
          <w:tcPr>
            <w:tcW w:w="350" w:type="pct"/>
            <w:noWrap/>
          </w:tcPr>
          <w:p>
            <w:pPr/>
            <w:r>
              <w:rPr/>
              <w:t xml:space="preserve"> </w:t>
            </w:r>
          </w:p>
        </w:tc>
        <w:tc>
          <w:tcPr>
            <w:tcW w:w="450" w:type="pct"/>
            <w:noWrap/>
          </w:tcPr>
          <w:p>
            <w:pPr/>
            <w:r>
              <w:rPr/>
              <w:t xml:space="preserve"> </w:t>
            </w:r>
          </w:p>
        </w:tc>
        <w:tc>
          <w:tcPr>
            <w:tcW w:w="400" w:type="pct"/>
            <w:noWrap/>
          </w:tcPr>
          <w:p>
            <w:pPr/>
            <w:r>
              <w:rPr/>
              <w:t xml:space="preserve"> </w:t>
            </w:r>
          </w:p>
        </w:tc>
        <w:tc>
          <w:tcPr>
            <w:tcW w:w="350" w:type="pct"/>
            <w:noWrap/>
          </w:tcPr>
          <w:p>
            <w:pPr/>
            <w:r>
              <w:rPr/>
              <w:t xml:space="preserve"> </w:t>
            </w:r>
          </w:p>
        </w:tc>
        <w:tc>
          <w:tcPr>
            <w:tcW w:w="400" w:type="pct"/>
            <w:noWrap/>
          </w:tcPr>
          <w:p>
            <w:pPr/>
            <w:r>
              <w:rPr/>
              <w:t xml:space="preserve"> </w:t>
            </w:r>
          </w:p>
        </w:tc>
        <w:tc>
          <w:tcPr>
            <w:tcW w:w="450" w:type="pct"/>
            <w:noWrap/>
          </w:tcPr>
          <w:p>
            <w:pPr/>
            <w:r>
              <w:rPr/>
              <w:t xml:space="preserve"> </w:t>
            </w:r>
          </w:p>
        </w:tc>
        <w:tc>
          <w:tcPr>
            <w:tcW w:w="500" w:type="pct"/>
            <w:noWrap/>
          </w:tcPr>
          <w:p>
            <w:pPr/>
            <w:r>
              <w:rPr/>
              <w:t xml:space="preserve"> </w:t>
            </w:r>
          </w:p>
        </w:tc>
        <w:tc>
          <w:tcPr>
            <w:tcW w:w="550" w:type="pct"/>
            <w:noWrap/>
          </w:tcPr>
          <w:p>
            <w:pPr/>
            <w:r>
              <w:rPr/>
              <w:t xml:space="preserve"> </w:t>
            </w:r>
          </w:p>
        </w:tc>
        <w:tc>
          <w:tcPr>
            <w:tcW w:w="450" w:type="pct"/>
            <w:noWrap/>
          </w:tcPr>
          <w:p>
            <w:pPr/>
            <w:r>
              <w:rPr/>
              <w:t xml:space="preserve"> </w:t>
            </w:r>
          </w:p>
        </w:tc>
        <w:tc>
          <w:tcPr>
            <w:tcW w:w="300" w:type="pct"/>
            <w:noWrap/>
          </w:tcPr>
          <w:p>
            <w:pPr/>
            <w:r>
              <w:rPr/>
              <w:t xml:space="preserve"> </w:t>
            </w:r>
          </w:p>
        </w:tc>
        <w:tc>
          <w:tcPr>
            <w:tcW w:w="0" w:type="dxa"/>
            <w:noWrap/>
          </w:tcPr>
          <w:p>
            <w:pPr/>
            <w:r>
              <w:rPr/>
              <w:t xml:space="preserve"> </w:t>
            </w:r>
          </w:p>
        </w:tc>
      </w:tr>
      <w:tr>
        <w:trPr/>
        <w:tc>
          <w:tcPr>
            <w:tcW w:w="600" w:type="pct"/>
            <w:noWrap/>
          </w:tcPr>
          <w:p>
            <w:pPr/>
            <w:r>
              <w:rPr/>
              <w:t xml:space="preserve"> </w:t>
            </w:r>
          </w:p>
        </w:tc>
        <w:tc>
          <w:tcPr>
            <w:tcW w:w="350" w:type="pct"/>
            <w:noWrap/>
          </w:tcPr>
          <w:p>
            <w:pPr/>
            <w:r>
              <w:rPr/>
              <w:t xml:space="preserve"> </w:t>
            </w:r>
          </w:p>
        </w:tc>
        <w:tc>
          <w:tcPr>
            <w:tcW w:w="450" w:type="pct"/>
            <w:noWrap/>
          </w:tcPr>
          <w:p>
            <w:pPr/>
            <w:r>
              <w:rPr/>
              <w:t xml:space="preserve"> </w:t>
            </w:r>
          </w:p>
        </w:tc>
        <w:tc>
          <w:tcPr>
            <w:tcW w:w="400" w:type="pct"/>
            <w:noWrap/>
          </w:tcPr>
          <w:p>
            <w:pPr/>
            <w:r>
              <w:rPr/>
              <w:t xml:space="preserve"> </w:t>
            </w:r>
          </w:p>
        </w:tc>
        <w:tc>
          <w:tcPr>
            <w:tcW w:w="350" w:type="pct"/>
            <w:noWrap/>
          </w:tcPr>
          <w:p>
            <w:pPr/>
            <w:r>
              <w:rPr/>
              <w:t xml:space="preserve"> </w:t>
            </w:r>
          </w:p>
        </w:tc>
        <w:tc>
          <w:tcPr>
            <w:tcW w:w="400" w:type="pct"/>
            <w:noWrap/>
          </w:tcPr>
          <w:p>
            <w:pPr/>
            <w:r>
              <w:rPr/>
              <w:t xml:space="preserve"> </w:t>
            </w:r>
          </w:p>
        </w:tc>
        <w:tc>
          <w:tcPr>
            <w:tcW w:w="450" w:type="pct"/>
            <w:noWrap/>
          </w:tcPr>
          <w:p>
            <w:pPr/>
            <w:r>
              <w:rPr/>
              <w:t xml:space="preserve"> </w:t>
            </w:r>
          </w:p>
        </w:tc>
        <w:tc>
          <w:tcPr>
            <w:tcW w:w="500" w:type="pct"/>
            <w:noWrap/>
          </w:tcPr>
          <w:p>
            <w:pPr/>
            <w:r>
              <w:rPr/>
              <w:t xml:space="preserve"> </w:t>
            </w:r>
          </w:p>
        </w:tc>
        <w:tc>
          <w:tcPr>
            <w:tcW w:w="550" w:type="pct"/>
            <w:noWrap/>
          </w:tcPr>
          <w:p>
            <w:pPr/>
            <w:r>
              <w:rPr/>
              <w:t xml:space="preserve"> </w:t>
            </w:r>
          </w:p>
        </w:tc>
        <w:tc>
          <w:tcPr>
            <w:tcW w:w="450" w:type="pct"/>
            <w:noWrap/>
          </w:tcPr>
          <w:p>
            <w:pPr/>
            <w:r>
              <w:rPr/>
              <w:t xml:space="preserve"> </w:t>
            </w:r>
          </w:p>
        </w:tc>
        <w:tc>
          <w:tcPr>
            <w:tcW w:w="300" w:type="pct"/>
            <w:noWrap/>
          </w:tcPr>
          <w:p>
            <w:pPr/>
            <w:r>
              <w:rPr/>
              <w:t xml:space="preserve"> </w:t>
            </w:r>
          </w:p>
        </w:tc>
        <w:tc>
          <w:tcPr>
            <w:tcW w:w="0" w:type="dxa"/>
            <w:noWrap/>
          </w:tcPr>
          <w:p>
            <w:pPr/>
            <w:r>
              <w:rPr/>
              <w:t xml:space="preserve"> </w:t>
            </w:r>
          </w:p>
        </w:tc>
      </w:tr>
    </w:tbl>
    <w:p>
      <w:pPr/>
      <w:r>
        <w:rPr/>
        <w:t xml:space="preserve"> </w:t>
      </w:r>
    </w:p>
    <w:p>
      <w:pPr/>
      <w:r>
        <w:rPr/>
        <w:t xml:space="preserve"> </w:t>
      </w:r>
    </w:p>
    <w:tbl>
      <w:tblGrid>
        <w:gridCol w:w="150" w:type="dxa"/>
        <w:gridCol w:w="150" w:type="dxa"/>
        <w:gridCol w:w="300" w:type="dxa"/>
        <w:gridCol w:w="400" w:type="dxa"/>
        <w:gridCol w:w="350" w:type="dxa"/>
        <w:gridCol w:w="200" w:type="dxa"/>
        <w:gridCol w:w="450" w:type="dxa"/>
        <w:gridCol w:w="500" w:type="dxa"/>
        <w:gridCol w:w="400" w:type="dxa"/>
        <w:gridCol w:w="400" w:type="dxa"/>
        <w:gridCol w:w="400" w:type="dxa"/>
        <w:gridCol w:w="400" w:type="dxa"/>
        <w:gridCol w:w="400" w:type="dxa"/>
        <w:gridCol w:w="150" w:type="dxa"/>
      </w:tblGrid>
      <w:tblPr>
        <w:tblW w:w="5000" w:type="pct"/>
        <w:tblLayout w:type="autofit"/>
      </w:tblPr>
      <w:tr>
        <w:trPr/>
        <w:tc>
          <w:tcPr>
            <w:tcW w:w="1700" w:type="pct"/>
            <w:gridSpan w:val="6"/>
            <w:noWrap/>
          </w:tcPr>
          <w:p>
            <w:pPr/>
            <w:r>
              <w:rPr/>
              <w:t xml:space="preserve">Հողամասի բարելավումների (շինությունների) տվյալները՝</w:t>
            </w:r>
          </w:p>
        </w:tc>
        <w:tc>
          <w:tcPr>
            <w:tcW w:w="450" w:type="pct"/>
            <w:noWrap/>
          </w:tcPr>
          <w:p>
            <w:pPr/>
            <w:r>
              <w:rPr/>
              <w:t xml:space="preserve">Գյուղա-տնտե-սական նշանա-կության հողամասի կադաս-տրային գնա-հատման կարգով հաշ-վարկված հաշվար-կային զուտ եկամուտը (ՀՀ դրամ/հա)</w:t>
            </w:r>
          </w:p>
        </w:tc>
        <w:tc>
          <w:tcPr>
            <w:tcW w:w="500" w:type="pct"/>
            <w:noWrap/>
          </w:tcPr>
          <w:p>
            <w:pPr/>
            <w:r>
              <w:rPr/>
              <w:t xml:space="preserve">Անշարժ գույքի հարկով հարկման նպատակով անշարժ գույքի (բացառությամբ գյուղա-տնտեսական նշանակության հողերի) շուկայական արժեքին մոտարկված կադաստրային արժեքը</w:t>
            </w:r>
            <w:br/>
            <w:r>
              <w:rPr/>
              <w:t xml:space="preserve"> (ՀՀ դրամ)</w:t>
            </w:r>
          </w:p>
        </w:tc>
        <w:tc>
          <w:tcPr>
            <w:tcW w:w="800" w:type="pct"/>
            <w:gridSpan w:val="2"/>
            <w:noWrap/>
          </w:tcPr>
          <w:p>
            <w:pPr/>
            <w:r>
              <w:rPr/>
              <w:t xml:space="preserve">Որի կազմում</w:t>
            </w:r>
          </w:p>
        </w:tc>
        <w:tc>
          <w:tcPr>
            <w:tcW w:w="1450" w:type="pct"/>
            <w:gridSpan w:val="4"/>
            <w:noWrap/>
          </w:tcPr>
          <w:p>
            <w:pPr/>
            <w:r>
              <w:rPr/>
              <w:t xml:space="preserve">Իրավունքների՝</w:t>
            </w:r>
          </w:p>
        </w:tc>
      </w:tr>
      <w:tr>
        <w:trPr/>
        <w:tc>
          <w:tcPr>
            <w:tcW w:w="150" w:type="pct"/>
            <w:noWrap/>
          </w:tcPr>
          <w:p>
            <w:pPr/>
            <w:r>
              <w:rPr/>
              <w:t xml:space="preserve">Կադ-</w:t>
            </w:r>
          </w:p>
          <w:p>
            <w:pPr/>
            <w:r>
              <w:rPr/>
              <w:t xml:space="preserve">աս-</w:t>
            </w:r>
          </w:p>
          <w:p>
            <w:pPr/>
            <w:r>
              <w:rPr/>
              <w:t xml:space="preserve">տրա-</w:t>
            </w:r>
          </w:p>
          <w:p>
            <w:pPr/>
            <w:r>
              <w:rPr/>
              <w:t xml:space="preserve">յին ծածկա-գիրը</w:t>
            </w:r>
          </w:p>
        </w:tc>
        <w:tc>
          <w:tcPr>
            <w:tcW w:w="150" w:type="pct"/>
            <w:noWrap/>
          </w:tcPr>
          <w:p>
            <w:pPr/>
            <w:r>
              <w:rPr/>
              <w:t xml:space="preserve">Նպատ-ակա</w:t>
            </w:r>
          </w:p>
          <w:p>
            <w:pPr/>
            <w:r>
              <w:rPr/>
              <w:t xml:space="preserve">յին նշա</w:t>
            </w:r>
          </w:p>
          <w:p>
            <w:pPr/>
            <w:r>
              <w:rPr/>
              <w:t xml:space="preserve">նա-կութ</w:t>
            </w:r>
          </w:p>
          <w:p>
            <w:pPr/>
            <w:r>
              <w:rPr/>
              <w:t xml:space="preserve">յունը</w:t>
            </w:r>
          </w:p>
        </w:tc>
        <w:tc>
          <w:tcPr>
            <w:tcW w:w="300" w:type="pct"/>
            <w:noWrap/>
          </w:tcPr>
          <w:p>
            <w:pPr/>
            <w:r>
              <w:rPr/>
              <w:t xml:space="preserve">Գործառնա</w:t>
            </w:r>
          </w:p>
          <w:p>
            <w:pPr/>
            <w:r>
              <w:rPr/>
              <w:t xml:space="preserve">կան նշա</w:t>
            </w:r>
          </w:p>
          <w:p>
            <w:pPr/>
            <w:r>
              <w:rPr/>
              <w:t xml:space="preserve">նակութ</w:t>
            </w:r>
          </w:p>
          <w:p>
            <w:pPr/>
            <w:r>
              <w:rPr/>
              <w:t xml:space="preserve">յունը</w:t>
            </w:r>
          </w:p>
        </w:tc>
        <w:tc>
          <w:tcPr>
            <w:tcW w:w="400" w:type="pct"/>
            <w:noWrap/>
          </w:tcPr>
          <w:p>
            <w:pPr/>
            <w:r>
              <w:rPr/>
              <w:t xml:space="preserve">Ավար</w:t>
            </w:r>
          </w:p>
          <w:p>
            <w:pPr/>
            <w:r>
              <w:rPr/>
              <w:t xml:space="preserve">տվա</w:t>
            </w:r>
          </w:p>
          <w:p>
            <w:pPr/>
            <w:r>
              <w:rPr/>
              <w:t xml:space="preserve">ծութ</w:t>
            </w:r>
          </w:p>
          <w:p>
            <w:pPr/>
            <w:r>
              <w:rPr/>
              <w:t xml:space="preserve">յան աստիճանը</w:t>
            </w:r>
          </w:p>
        </w:tc>
        <w:tc>
          <w:tcPr>
            <w:tcW w:w="350" w:type="pct"/>
            <w:noWrap/>
          </w:tcPr>
          <w:p>
            <w:pPr/>
            <w:r>
              <w:rPr/>
              <w:t xml:space="preserve">Տարա</w:t>
            </w:r>
          </w:p>
          <w:p>
            <w:pPr/>
            <w:r>
              <w:rPr/>
              <w:t xml:space="preserve">ծա-գնահատման (գտնվելու վայրի) գոտին</w:t>
            </w:r>
          </w:p>
        </w:tc>
        <w:tc>
          <w:tcPr>
            <w:tcW w:w="200" w:type="pct"/>
            <w:noWrap/>
          </w:tcPr>
          <w:p>
            <w:pPr/>
            <w:r>
              <w:rPr/>
              <w:t xml:space="preserve">Շինու-թյան մակերեսը (քմ)</w:t>
            </w:r>
          </w:p>
        </w:tc>
        <w:tc>
          <w:tcPr>
            <w:tcW w:w="400" w:type="pct"/>
            <w:noWrap/>
          </w:tcPr>
          <w:p>
            <w:pPr/>
            <w:r>
              <w:rPr/>
              <w:t xml:space="preserve">Հողամասի կադաստրա</w:t>
            </w:r>
          </w:p>
          <w:p>
            <w:pPr/>
            <w:r>
              <w:rPr/>
              <w:t xml:space="preserve">յին արժեքը (ՀՀ դրամ)</w:t>
            </w:r>
          </w:p>
        </w:tc>
        <w:tc>
          <w:tcPr>
            <w:tcW w:w="400" w:type="pct"/>
            <w:noWrap/>
          </w:tcPr>
          <w:p>
            <w:pPr/>
            <w:r>
              <w:rPr/>
              <w:t xml:space="preserve">Հողամասի բարե</w:t>
            </w:r>
          </w:p>
          <w:p>
            <w:pPr/>
            <w:r>
              <w:rPr/>
              <w:t xml:space="preserve">լավ</w:t>
            </w:r>
          </w:p>
          <w:p>
            <w:pPr/>
            <w:r>
              <w:rPr/>
              <w:t xml:space="preserve">ում</w:t>
            </w:r>
          </w:p>
          <w:p>
            <w:pPr/>
            <w:r>
              <w:rPr/>
              <w:t xml:space="preserve">ների (շինու-թյունների) կադ</w:t>
            </w:r>
          </w:p>
          <w:p>
            <w:pPr/>
            <w:r>
              <w:rPr/>
              <w:t xml:space="preserve">աստրա</w:t>
            </w:r>
          </w:p>
          <w:p>
            <w:pPr/>
            <w:r>
              <w:rPr/>
              <w:t xml:space="preserve">յին արժեքը (ՀՀ դրամ)</w:t>
            </w:r>
          </w:p>
        </w:tc>
        <w:tc>
          <w:tcPr>
            <w:tcW w:w="400" w:type="pct"/>
            <w:noWrap/>
          </w:tcPr>
          <w:p>
            <w:pPr/>
            <w:r>
              <w:rPr/>
              <w:t xml:space="preserve">Պետական գրանցման ամսաթիվը (օրը, ամիսը, տարեթիվը)</w:t>
            </w:r>
          </w:p>
        </w:tc>
        <w:tc>
          <w:tcPr>
            <w:tcW w:w="400" w:type="pct"/>
            <w:noWrap/>
          </w:tcPr>
          <w:p>
            <w:pPr/>
            <w:r>
              <w:rPr/>
              <w:t xml:space="preserve">Սեփա-կանության ձևը (ամբողջը կամ ընդհանուր բաժնային կամ ընդհանուր համատեղ)</w:t>
            </w:r>
          </w:p>
        </w:tc>
        <w:tc>
          <w:tcPr>
            <w:tcW w:w="400" w:type="pct"/>
            <w:noWrap/>
          </w:tcPr>
          <w:p>
            <w:pPr/>
            <w:r>
              <w:rPr/>
              <w:t xml:space="preserve">Գրանցման սուբյեկտի լրացուցիչ տվյալներ</w:t>
            </w:r>
          </w:p>
        </w:tc>
        <w:tc>
          <w:tcPr>
            <w:tcW w:w="150" w:type="pct"/>
            <w:noWrap/>
          </w:tcPr>
          <w:p>
            <w:pPr/>
            <w:r>
              <w:rPr/>
              <w:t xml:space="preserve">Կարգա-վիճակը</w:t>
            </w:r>
          </w:p>
        </w:tc>
      </w:tr>
      <w:tr>
        <w:trPr/>
        <w:tc>
          <w:tcPr>
            <w:tcW w:w="150" w:type="pct"/>
            <w:noWrap/>
          </w:tcPr>
          <w:p>
            <w:pPr/>
            <w:r>
              <w:rPr/>
              <w:t xml:space="preserve">25</w:t>
            </w:r>
          </w:p>
        </w:tc>
        <w:tc>
          <w:tcPr>
            <w:tcW w:w="150" w:type="pct"/>
            <w:noWrap/>
          </w:tcPr>
          <w:p>
            <w:pPr/>
            <w:r>
              <w:rPr/>
              <w:t xml:space="preserve">26</w:t>
            </w:r>
          </w:p>
        </w:tc>
        <w:tc>
          <w:tcPr>
            <w:tcW w:w="300" w:type="pct"/>
            <w:noWrap/>
          </w:tcPr>
          <w:p>
            <w:pPr/>
            <w:r>
              <w:rPr/>
              <w:t xml:space="preserve">27</w:t>
            </w:r>
          </w:p>
        </w:tc>
        <w:tc>
          <w:tcPr>
            <w:tcW w:w="400" w:type="pct"/>
            <w:noWrap/>
          </w:tcPr>
          <w:p>
            <w:pPr/>
            <w:r>
              <w:rPr/>
              <w:t xml:space="preserve">28</w:t>
            </w:r>
          </w:p>
        </w:tc>
        <w:tc>
          <w:tcPr>
            <w:tcW w:w="350" w:type="pct"/>
            <w:noWrap/>
          </w:tcPr>
          <w:p>
            <w:pPr/>
            <w:r>
              <w:rPr/>
              <w:t xml:space="preserve">29</w:t>
            </w:r>
          </w:p>
        </w:tc>
        <w:tc>
          <w:tcPr>
            <w:tcW w:w="200" w:type="pct"/>
            <w:noWrap/>
          </w:tcPr>
          <w:p>
            <w:pPr/>
            <w:r>
              <w:rPr/>
              <w:t xml:space="preserve">30</w:t>
            </w:r>
          </w:p>
        </w:tc>
        <w:tc>
          <w:tcPr>
            <w:tcW w:w="450" w:type="pct"/>
            <w:noWrap/>
          </w:tcPr>
          <w:p>
            <w:pPr/>
            <w:r>
              <w:rPr/>
              <w:t xml:space="preserve">31</w:t>
            </w:r>
          </w:p>
        </w:tc>
        <w:tc>
          <w:tcPr>
            <w:tcW w:w="500" w:type="pct"/>
            <w:noWrap/>
          </w:tcPr>
          <w:p>
            <w:pPr/>
            <w:r>
              <w:rPr/>
              <w:t xml:space="preserve">32</w:t>
            </w:r>
          </w:p>
        </w:tc>
        <w:tc>
          <w:tcPr>
            <w:tcW w:w="400" w:type="pct"/>
            <w:noWrap/>
          </w:tcPr>
          <w:p>
            <w:pPr/>
            <w:r>
              <w:rPr/>
              <w:t xml:space="preserve">33</w:t>
            </w:r>
          </w:p>
        </w:tc>
        <w:tc>
          <w:tcPr>
            <w:tcW w:w="400" w:type="pct"/>
            <w:noWrap/>
          </w:tcPr>
          <w:p>
            <w:pPr/>
            <w:r>
              <w:rPr/>
              <w:t xml:space="preserve">34</w:t>
            </w:r>
          </w:p>
        </w:tc>
        <w:tc>
          <w:tcPr>
            <w:tcW w:w="400" w:type="pct"/>
            <w:noWrap/>
          </w:tcPr>
          <w:p>
            <w:pPr/>
            <w:r>
              <w:rPr/>
              <w:t xml:space="preserve">35</w:t>
            </w:r>
          </w:p>
        </w:tc>
        <w:tc>
          <w:tcPr>
            <w:tcW w:w="400" w:type="pct"/>
            <w:noWrap/>
          </w:tcPr>
          <w:p>
            <w:pPr/>
            <w:r>
              <w:rPr/>
              <w:t xml:space="preserve">36</w:t>
            </w:r>
          </w:p>
        </w:tc>
        <w:tc>
          <w:tcPr>
            <w:tcW w:w="400" w:type="pct"/>
            <w:noWrap/>
          </w:tcPr>
          <w:p>
            <w:pPr/>
            <w:r>
              <w:rPr/>
              <w:t xml:space="preserve">37</w:t>
            </w:r>
          </w:p>
        </w:tc>
        <w:tc>
          <w:tcPr>
            <w:tcW w:w="150" w:type="pct"/>
            <w:noWrap/>
          </w:tcPr>
          <w:p>
            <w:pPr/>
            <w:r>
              <w:rPr/>
              <w:t xml:space="preserve">38</w:t>
            </w:r>
          </w:p>
        </w:tc>
      </w:tr>
      <w:tr>
        <w:trPr/>
        <w:tc>
          <w:tcPr>
            <w:tcW w:w="150" w:type="pct"/>
            <w:noWrap/>
          </w:tcPr>
          <w:p>
            <w:pPr/>
            <w:r>
              <w:rPr/>
              <w:t xml:space="preserve"> </w:t>
            </w:r>
          </w:p>
        </w:tc>
        <w:tc>
          <w:tcPr>
            <w:tcW w:w="150" w:type="pct"/>
            <w:noWrap/>
          </w:tcPr>
          <w:p>
            <w:pPr/>
            <w:r>
              <w:rPr/>
              <w:t xml:space="preserve"> </w:t>
            </w:r>
          </w:p>
        </w:tc>
        <w:tc>
          <w:tcPr>
            <w:tcW w:w="300" w:type="pct"/>
            <w:noWrap/>
          </w:tcPr>
          <w:p>
            <w:pPr/>
            <w:r>
              <w:rPr/>
              <w:t xml:space="preserve"> </w:t>
            </w:r>
          </w:p>
        </w:tc>
        <w:tc>
          <w:tcPr>
            <w:tcW w:w="400" w:type="pct"/>
            <w:noWrap/>
          </w:tcPr>
          <w:p>
            <w:pPr/>
            <w:r>
              <w:rPr/>
              <w:t xml:space="preserve"> </w:t>
            </w:r>
          </w:p>
        </w:tc>
        <w:tc>
          <w:tcPr>
            <w:tcW w:w="350" w:type="pct"/>
            <w:noWrap/>
          </w:tcPr>
          <w:p>
            <w:pPr/>
            <w:r>
              <w:rPr/>
              <w:t xml:space="preserve"> </w:t>
            </w:r>
          </w:p>
        </w:tc>
        <w:tc>
          <w:tcPr>
            <w:tcW w:w="200" w:type="pct"/>
            <w:noWrap/>
          </w:tcPr>
          <w:p>
            <w:pPr/>
            <w:r>
              <w:rPr/>
              <w:t xml:space="preserve"> </w:t>
            </w:r>
          </w:p>
        </w:tc>
        <w:tc>
          <w:tcPr>
            <w:tcW w:w="450" w:type="pct"/>
            <w:noWrap/>
          </w:tcPr>
          <w:p>
            <w:pPr/>
            <w:r>
              <w:rPr/>
              <w:t xml:space="preserve"> </w:t>
            </w:r>
          </w:p>
        </w:tc>
        <w:tc>
          <w:tcPr>
            <w:tcW w:w="5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150" w:type="pct"/>
            <w:noWrap/>
          </w:tcPr>
          <w:p>
            <w:pPr/>
            <w:r>
              <w:rPr/>
              <w:t xml:space="preserve"> </w:t>
            </w:r>
          </w:p>
        </w:tc>
      </w:tr>
      <w:tr>
        <w:trPr/>
        <w:tc>
          <w:tcPr>
            <w:tcW w:w="150" w:type="pct"/>
            <w:noWrap/>
          </w:tcPr>
          <w:p>
            <w:pPr/>
            <w:r>
              <w:rPr/>
              <w:t xml:space="preserve"> </w:t>
            </w:r>
          </w:p>
        </w:tc>
        <w:tc>
          <w:tcPr>
            <w:tcW w:w="150" w:type="pct"/>
            <w:noWrap/>
          </w:tcPr>
          <w:p>
            <w:pPr/>
            <w:r>
              <w:rPr/>
              <w:t xml:space="preserve"> </w:t>
            </w:r>
          </w:p>
        </w:tc>
        <w:tc>
          <w:tcPr>
            <w:tcW w:w="300" w:type="pct"/>
            <w:noWrap/>
          </w:tcPr>
          <w:p>
            <w:pPr/>
            <w:r>
              <w:rPr/>
              <w:t xml:space="preserve"> </w:t>
            </w:r>
          </w:p>
        </w:tc>
        <w:tc>
          <w:tcPr>
            <w:tcW w:w="400" w:type="pct"/>
            <w:noWrap/>
          </w:tcPr>
          <w:p>
            <w:pPr/>
            <w:r>
              <w:rPr/>
              <w:t xml:space="preserve"> </w:t>
            </w:r>
          </w:p>
        </w:tc>
        <w:tc>
          <w:tcPr>
            <w:tcW w:w="350" w:type="pct"/>
            <w:noWrap/>
          </w:tcPr>
          <w:p>
            <w:pPr/>
            <w:r>
              <w:rPr/>
              <w:t xml:space="preserve"> </w:t>
            </w:r>
          </w:p>
        </w:tc>
        <w:tc>
          <w:tcPr>
            <w:tcW w:w="200" w:type="pct"/>
            <w:noWrap/>
          </w:tcPr>
          <w:p>
            <w:pPr/>
            <w:r>
              <w:rPr/>
              <w:t xml:space="preserve"> </w:t>
            </w:r>
          </w:p>
        </w:tc>
        <w:tc>
          <w:tcPr>
            <w:tcW w:w="450" w:type="pct"/>
            <w:noWrap/>
          </w:tcPr>
          <w:p>
            <w:pPr/>
            <w:r>
              <w:rPr/>
              <w:t xml:space="preserve"> </w:t>
            </w:r>
          </w:p>
        </w:tc>
        <w:tc>
          <w:tcPr>
            <w:tcW w:w="5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150" w:type="pct"/>
            <w:noWrap/>
          </w:tcPr>
          <w:p>
            <w:pPr/>
            <w:r>
              <w:rPr/>
              <w:t xml:space="preserve"> </w:t>
            </w:r>
          </w:p>
        </w:tc>
      </w:tr>
      <w:tr>
        <w:trPr/>
        <w:tc>
          <w:tcPr>
            <w:tcW w:w="150" w:type="pct"/>
            <w:noWrap/>
          </w:tcPr>
          <w:p>
            <w:pPr/>
            <w:r>
              <w:rPr/>
              <w:t xml:space="preserve"> </w:t>
            </w:r>
          </w:p>
        </w:tc>
        <w:tc>
          <w:tcPr>
            <w:tcW w:w="150" w:type="pct"/>
            <w:noWrap/>
          </w:tcPr>
          <w:p>
            <w:pPr/>
            <w:r>
              <w:rPr/>
              <w:t xml:space="preserve"> </w:t>
            </w:r>
          </w:p>
        </w:tc>
        <w:tc>
          <w:tcPr>
            <w:tcW w:w="300" w:type="pct"/>
            <w:noWrap/>
          </w:tcPr>
          <w:p>
            <w:pPr/>
            <w:r>
              <w:rPr/>
              <w:t xml:space="preserve"> </w:t>
            </w:r>
          </w:p>
        </w:tc>
        <w:tc>
          <w:tcPr>
            <w:tcW w:w="400" w:type="pct"/>
            <w:noWrap/>
          </w:tcPr>
          <w:p>
            <w:pPr/>
            <w:r>
              <w:rPr/>
              <w:t xml:space="preserve"> </w:t>
            </w:r>
          </w:p>
        </w:tc>
        <w:tc>
          <w:tcPr>
            <w:tcW w:w="350" w:type="pct"/>
            <w:noWrap/>
          </w:tcPr>
          <w:p>
            <w:pPr/>
            <w:r>
              <w:rPr/>
              <w:t xml:space="preserve"> </w:t>
            </w:r>
          </w:p>
        </w:tc>
        <w:tc>
          <w:tcPr>
            <w:tcW w:w="200" w:type="pct"/>
            <w:noWrap/>
          </w:tcPr>
          <w:p>
            <w:pPr/>
            <w:r>
              <w:rPr/>
              <w:t xml:space="preserve"> </w:t>
            </w:r>
          </w:p>
        </w:tc>
        <w:tc>
          <w:tcPr>
            <w:tcW w:w="450" w:type="pct"/>
            <w:noWrap/>
          </w:tcPr>
          <w:p>
            <w:pPr/>
            <w:r>
              <w:rPr/>
              <w:t xml:space="preserve"> </w:t>
            </w:r>
          </w:p>
        </w:tc>
        <w:tc>
          <w:tcPr>
            <w:tcW w:w="5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400" w:type="pct"/>
            <w:noWrap/>
          </w:tcPr>
          <w:p>
            <w:pPr/>
            <w:r>
              <w:rPr/>
              <w:t xml:space="preserve"> </w:t>
            </w:r>
          </w:p>
        </w:tc>
        <w:tc>
          <w:tcPr>
            <w:tcW w:w="150" w:type="pct"/>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ՀԻՄՆԱՎՈՐՈՒՄ</w:t>
      </w:r>
    </w:p>
    <w:p>
      <w:pPr/>
      <w:r>
        <w:rPr>
          <w:b w:val="1"/>
          <w:bCs w:val="1"/>
        </w:rPr>
        <w:t xml:space="preserve">«ԱՆՇԱՐԺ ԳՈՒՅՔԻ ՊԵՏԱԿԱՆ ՄԻԱՍՆԱԿԱՆ ԿԱԴԱՍՏՐ ՎԱՐՈՂ ՄԱՐՄՆԻ ԿՈՂՄԻՑ ԱՆՇԱՐԺ ԳՈՒՅՔԻ ՀԱՐԿՈՎ ՀԱՐԿՄԱՆ ՕԲՅԵԿՏ ՀԱՄԱՐՎՈՂ ԱՆՇԱՐԺ ԳՈՒՅՔԻ ՈՒ ԴՐԱՆՑ ԳՆԱՀԱՏՈՒՄՆԵՐԻ (ՎԵՐԱԳՆԱՀԱՏՈՒՄՆԵՐԻ) ՎԵՐԱԲԵՐՅԱԼ ԱՄՓՈՓ ՏԵՂԵԿՈՒԹՅՈՒՆՆԵՐԸ, ԱՆՇԱՐԺ ԳՈՒՅՔԻ ՍԵՓԱԿԱՆԱՏԵՐԵՐԻ, ԱՆՇԱՐԺ ԳՈՒՅՔԻ ՀԱՇՎԱՌՄԱՆ ՈՒ ԳՆԱՀԱՏՄԱՆ ՏՎՅԱԼՆԵՐԻ ՓՈՓՈԽՈՒԹՅՈՒՆՆԵՐԻ, ԱՆՇԱՐԺ ԳՈՒՅՔԻ ԼԻԶԻՆԳԱՌՈՒՆԵՐԻ, ԻՆՉՊԵՍ ՆԱԵՎ ԼԻԶԻՆԳԻ ԱՌԱՐԿԱ ՀԱՆԴԻՍԱՑՈՂ ԱՆՇԱՐԺ ԳՈՒՅՔԻ ՀԱՇՎԱՌՄԱՆ ՈՒ ԳՆԱՀԱՏՄԱՆ ՏՎՅԱԼՆԵՐԻ ՓՈՓՈԽՈՒԹՅՈՒՆՆԵՐԻ ՎԵՐԱԲԵՐՅԱԼ ՏԵՂԵԿՈՒԹՅՈՒՆՆԵՐԸ ՏԵՂԱԿԱՆ ԻՆՔՆԱԿԱՌԱՎԱՐՄԱՆ ՄԱՐՄԻՆՆԵՐԻՆ ՆԵՐԿԱՅԱՑՆԵԼՈՒ ԿԱՐԳԸ ՍԱՀՄԱՆԵԼՈՒ  ԵՎ ՀԱՅԱՍՏԱՆԻ ՀԱՆՐԱՊԵՏՈՒԹՅԱՆ ԿԱՌԱՎԱՐՈՒԹՅԱՆ 2017 ԹՎԱԿԱՆԻ ԱՊՐԻԼԻ 6-Ի N 388- Ն ՈՐՈՇՈՒՄՆ ՈՒԺԸ ԿՈՐՑՐԱԾ ՃԱՆԱՉԵԼՈՒ ՄԱՍԻՆ» ՀԱՅԱՍՏԱՆԻ ՀԱՆՐԱՊԵՏՈՒԹՅԱՆ ԿԱՌԱՎԱՐՈՒԹՅԱՆ ՈՐՈՇՄԱՆ ՆԱԽԱԳԾԻ ՎԵՐԱԲԵՐՅԱԼ</w:t>
      </w:r>
    </w:p>
    <w:p>
      <w:pPr/>
      <w:r>
        <w:rPr/>
        <w:t xml:space="preserve"> </w:t>
      </w:r>
    </w:p>
    <w:p>
      <w:pPr/>
      <w:r>
        <w:rPr>
          <w:b w:val="1"/>
          <w:bCs w:val="1"/>
        </w:rPr>
        <w:t xml:space="preserve">Իրավական ակտի ընդունման անհրաժեշտությունը.</w:t>
      </w:r>
    </w:p>
    <w:p>
      <w:pPr/>
      <w:r>
        <w:rPr/>
        <w:t xml:space="preserve">Հայաստանի Հանրապետության կառավարության 2017 թվականի ապրիլի 6-ի N 388-Ն որոշմամբ (այսուհետ՝ Որոշում) սահմանվել է անշարժ գույքի պետական միասնական կադաստր վարող մարմնի կողմից անշարժ գույքի հարկով հարկման օբյեկտ համարվող անշարժ գույքի ու դրանց գնահատումների (վերագնահատումների) վերաբերյալ հաշվառող մարմիններին՝ տեղական ինքնակառավարման մարմիններին տեղեկություններ ներկայացնելու կարգը:</w:t>
      </w:r>
    </w:p>
    <w:p>
      <w:pPr/>
      <w:r>
        <w:rPr/>
        <w:t xml:space="preserve">Որոշման հավելվածի 3-րդ կետով նախատեսվել է, որ անշարժ գույքի պետական միասնական կադաստր վարող մարմինը տեղական ինքնակառավարման մարմիններին է ներկայացնում՝</w:t>
      </w:r>
    </w:p>
    <w:p>
      <w:pPr/>
      <w:r>
        <w:rPr/>
        <w:t xml:space="preserve">1) գնահատման կամ վերագնահատման հարկային տարվա հուլիսի 1-ի դրությամբ հաշվառված ու գնահատված (վերագնահատված)՝ անշարժ գույքի հարկով հարկման օբյեկտ համարվող անշարժ գույքի ու դրանց գնահատումների (վերագնահատումների) վերաբերյալ ամփոփ տեղեկությունները մինչև գնահատման (վերագնահատման) հարկային տարվա սեպտեմբերի 1-ը ներառյալ՝ համաձայն N 1 ձևի և դրա լրացման համար նախատեսված կարգի.</w:t>
      </w:r>
    </w:p>
    <w:p>
      <w:pPr/>
      <w:r>
        <w:rPr/>
        <w:t xml:space="preserve">2) մինչև յուրաքանչյուր ամսվա 15-ը ներառյալ՝ նախորդ ամսվա ընթացքում անշարժ գույքի սեփականատերերի և լիզինգառուների փոփոխությունների վերաբերյալ տեղեկությունները՝ համաձայն N 2 ձևի և դրա լրացման համար նախատեսված կարգի.</w:t>
      </w:r>
    </w:p>
    <w:p>
      <w:pPr/>
      <w:r>
        <w:rPr/>
        <w:t xml:space="preserve">3) մինչև յուրաքանչյուր ամսվա 15-ը ներառյալ` նախորդ ամսվա ընթացքում անշարժ գույքի և լիզինգի առարկա հանդիսացող անշարժ գույքի հաշվառման ու գնահատման տվյալների փոփոխությունների վերաբերյալ տեղեկությունները` համաձայն N 3 ձևի և դրա լրացման համար նախատեսված կարգի:</w:t>
      </w:r>
    </w:p>
    <w:p>
      <w:pPr/>
      <w:r>
        <w:rPr/>
        <w:t xml:space="preserve">Որոշման նախաբանում որպես իրավական ակտի ընդունման իրավական հիմք նշվել են Հայաստանի Հանրապետության հարկային օրենսգրքի 235-րդ հոդվածի 1-ին մասի 1-ին և 2-րդ կետերը:</w:t>
      </w:r>
    </w:p>
    <w:p>
      <w:pPr/>
      <w:r>
        <w:rPr/>
        <w:t xml:space="preserve">Այս առումով հարկ է նկատի ունենալ, որ Որոշման հավելվածում խոսք է գնում Ձև 1-ի, Ձև 2-ի և Ձև 3-ի լրացման կարգերի մասին, այնինչ, Որոշմամբ հիշյալ Ձևերը չեն սահմանվել:</w:t>
      </w:r>
    </w:p>
    <w:p>
      <w:pPr/>
      <w:r>
        <w:rPr/>
        <w:t xml:space="preserve">Ներկայումս անշարժ գույքի պետական միասնական կադաստր վարող մարմնի կողմից անշարժ գույքի հարկով հարկման օբյեկտ համարվող անշարժ գույքի ու դրանց գնահատումների (վերագնահատումների) վերաբերյալ տեղական ինքնակառավարման մարմիններին տեղեկություններ ներկայացնելու կարգի համաձայն համայնքներին ներկայացվող ելակետային տեղեկատվության մեջ բացակայում է շինությունների մակերեսը, որը որոշակի խնդիրներ է ստեղծում ըստ շինությունների մակերեսի հաշվարկվող տեղական վճարների հաշվարկման ժամանակ, մինչդեռ այդ տվյալների ներառումը էապես կբարելավի համայնքների կողմից պարտավորությունների հաշվառման գործընթացը։</w:t>
      </w:r>
    </w:p>
    <w:p>
      <w:pPr/>
      <w:r>
        <w:rPr/>
        <w:t xml:space="preserve">Միևնույն ժամանակ, անհրաժեշտություն է առաջացել ներկայացվող տեղեկությունների շարքում ներառել նաև վարձակալության, կառուցապատման, ինչպես նաև անհատույց (մշտական) օգտագործման իրավունքով տրամադրված համայնքային սեփականություն հանդիսացող անշարժ գույքի վերաբերյալ տեղեկությունները:</w:t>
      </w:r>
    </w:p>
    <w:p>
      <w:pPr/>
      <w:r>
        <w:rPr/>
        <w:t xml:space="preserve">Նկատի ունենալով նշվածը, Նախագծով առաջարկվում է տեղական ինքնակառավարման մարմիններին ներկայացվող ելակետային տեղեկատվության մեջ ներառել նաև շինությունների մակերեսին վերաբերող տեղեկությունը, կարգավորել վարձակալության, կառուցապատման, ինչպես նաև անհատույց (մշտական) օգտագործման իրավունքով տրամադրված համայնքային սեփականություն հանդիսացող անշարժ գույքի վերաբերյալ տեղեկությունների ներկայացման հետ կապված հարաբերությունները:</w:t>
      </w:r>
    </w:p>
    <w:p>
      <w:pPr/>
      <w:r>
        <w:rPr/>
        <w:t xml:space="preserve">Տվյալ պարագայում նկատի ունենալով այն հանգամանքը, որ Որոշմամբ Ձևերը չեն սահմանվել, մինչդեռ, Որոշմամբ սահմանված կարգավորումները ամբողջությամբ վերաբերվում են հիշյալ Ձևերի լրացման կարգին, միևնույն ժամանակ, նկատի ունենալով տեղական ինքնակառավարման մարմիններին ներկայացվող ելակետային տեղեկատվության մեջ սույն հիմնավորմամբ նշված տեղեկությունները ներառելու անհրաժեշտությունը՝ հիմք ընդունելով «Նորմատիվ իրավական ակտերի մասին» օրենքի 34-րդ և 37-րդ հոդվածների կարգավորումները՝ առաջարկվում է Որոշումը ուժը կորցրած ճանաչել, փոխարենը ընդունել նոր որոշում՝ դրանում ներառելով նաև Որոշմամբ հիշատակված Ձևերը: Միևնույն ժամանակ, Նախագծի ընդունման արդյունքում Որոշումը կհամապատասխանեցվի «Նորմատիվ իրավական ակտերի մասին» օրենքով սահմանված պահանջներին:</w:t>
      </w:r>
    </w:p>
    <w:p>
      <w:pPr/>
      <w:r>
        <w:rPr>
          <w:b w:val="1"/>
          <w:bCs w:val="1"/>
        </w:rPr>
        <w:t xml:space="preserve">Առկա խնդիրների առաջարկվող լուծումները և </w:t>
      </w:r>
      <w:r>
        <w:rPr>
          <w:b w:val="1"/>
          <w:bCs w:val="1"/>
        </w:rPr>
        <w:t xml:space="preserve">կարգավորման առարկան.</w:t>
      </w:r>
    </w:p>
    <w:p>
      <w:pPr/>
      <w:r>
        <w:rPr/>
        <w:t xml:space="preserve">Նախագծի ընդունման արդյունքում անշարժ գույքի պետական միասնական կադաստր վարող մարմնի կողմից անշարժ գույքի հարկով հարկման օբյեկտ համարվող անշարժ գույքի ու դրանց գնահատումների (վերագնահատումների) վերաբերյալ տեղական ինքնակառավարման մարմիններին տեղեկություններ ներկայացնելու կարգի համաձայն համայնքներին ներկայացվող ելակետային տեղեկատվության մեջ կներառվի շինությունների մակերեսը, ինչն իր հերթին կբարձրացնի համայքների կողմից ըստ շինությունների մակերեսի հաշվարկվող տեղական վճարների հաշվառման ճշտությունը: Նախագծի ընդունման արդյունքում կկարգավորվեն վարձակալության, կառուցապատման, ինչպես նաև անհատույց (մշտական) օգտագործման իրավունքով տրամադրված համայնքային սեփականություն հանդիսացող անշարժ գույքի վերաբերյալ տեղեկությունների ներկայացման հետ կապված հարաբերությունները: Միևնույն ժամանակ, Նախագծի ընդունման արդյունքում Որոշումը կհամապատասխանեցվի «Նորմատիվ իրավական ակտերի մասին» օրենքով սահմանված պահանջներին:</w:t>
      </w:r>
    </w:p>
    <w:p>
      <w:pPr/>
      <w:r>
        <w:rPr>
          <w:b w:val="1"/>
          <w:bCs w:val="1"/>
        </w:rPr>
        <w:t xml:space="preserve">Նախագծի մշակման գործընթացում ներգրավված ինստիտուտները և անձիք.</w:t>
      </w:r>
    </w:p>
    <w:p>
      <w:pPr/>
      <w:r>
        <w:rPr/>
        <w:t xml:space="preserve">ՀՀ Տարածքային կառավարման և ենթակառուցվածքների նախարարություն, Երևանի քաղաքապետարան.</w:t>
      </w:r>
    </w:p>
    <w:p>
      <w:pPr/>
      <w:r>
        <w:rPr>
          <w:b w:val="1"/>
          <w:bCs w:val="1"/>
        </w:rPr>
        <w:t xml:space="preserve">Ակնկալվող արդյունքը</w:t>
      </w:r>
      <w:r>
        <w:rPr>
          <w:b w:val="1"/>
          <w:bCs w:val="1"/>
        </w:rPr>
        <w:t xml:space="preserve">. </w:t>
      </w:r>
    </w:p>
    <w:p>
      <w:pPr/>
      <w:r>
        <w:rPr/>
        <w:t xml:space="preserve">Ներկայացված նախագծի ընդունման արդյունքում անշարժ գույքի պետական միասնական կադաստր վարող մարմնի կողմից անշարժ գույքի հարկով հարկման օբյեկտ համարվող անշարժ գույքի ու դրանց գնահատումների (վերագնահատումների) վերաբերյալ ներկայացվող ելակետային տեղեկատվության մեջ կներառվի շինությունների մակերեսը, ինչն իր հերթին կբարձրացնի համայքների կողմից ըստ շինությունների մակերեսի հաշվարկվող տեղական վճարների հաշվառման ճշտությունը, կկարգավորվեն վարձակալության, կառուցապատման, ինչպես նաև անհատույց (մշտական) օգտագործման իրավունքով տրամադրված համայնքային սեփականություն հանդիսացող անշարժ գույքի վերաբերյալ տեղեկությունների ներկայացման հետ կապված հարաբերությունները և կբարելավվի քաղաքացիների սպասարկման մակարդակը, ինչպես նաև կբարելավվի օրենսդրական դաշտը:</w:t>
      </w:r>
    </w:p>
    <w:p>
      <w:pPr/>
      <w:r>
        <w:rPr>
          <w:b w:val="1"/>
          <w:bCs w:val="1"/>
        </w:rPr>
        <w:t xml:space="preserve">Լրացուցիչ ֆինանսական միջոցների անհրաժեշտությունը, պետական և տեղական ինքնակառավարման մարմինների բյուջեներում եկամուտների և ծախսերի սպասվելիք փոփոխությունները</w:t>
      </w:r>
      <w:r>
        <w:rPr/>
        <w:t xml:space="preserve">.</w:t>
      </w:r>
    </w:p>
    <w:p>
      <w:pPr/>
      <w:r>
        <w:rPr/>
        <w:t xml:space="preserve">Նախագծի ընդունման կապակցությամբ լրացուցիչ ֆինանսական միջոցների անհրաժեշտություն չի առաջանում, պետական և տեղական ինքնակառավարման մարմինների բյուջեներում ծախսերի և եկամուտների էական ավելացում և նվազեցում չի նախատեսվում:</w:t>
      </w:r>
    </w:p>
    <w:p>
      <w:pPr/>
      <w:r>
        <w:rPr>
          <w:b w:val="1"/>
          <w:bCs w:val="1"/>
        </w:rPr>
        <w:t xml:space="preserve">Նախագծի</w:t>
      </w:r>
      <w:r>
        <w:rPr>
          <w:b w:val="1"/>
          <w:bCs w:val="1"/>
        </w:rPr>
        <w:t xml:space="preserve"> ընդունման առնչությամբ ընդունվելիք այլ իրավական ակտերի կամ դրանց ընդունման անհրաժեշտության բացակայության մասին.</w:t>
      </w:r>
    </w:p>
    <w:p>
      <w:pPr/>
      <w:r>
        <w:rPr/>
        <w:t xml:space="preserve">Նախագծի ընդունումն առաջացնում է ՀՀ կառավարության 05․10․2017թ․ N 1337-Ն որոշման մեջ փոփոխություններ կատարելու անհրաժեշտություն:</w:t>
      </w:r>
    </w:p>
    <w:p>
      <w:pPr/>
      <w:r>
        <w:rPr>
          <w:b w:val="1"/>
          <w:bCs w:val="1"/>
        </w:rPr>
        <w:t xml:space="preserve">Կապը ռազմավարական փաստաթղթերի հետ. Հայաստանի վերափոխման ռազմավարություն 2050, Կառավարության 2021-2026թթ. ծրագիր, ոլորտային և/կամ այլ ռազմավարություններ».</w:t>
      </w:r>
    </w:p>
    <w:p>
      <w:pPr/>
      <w:r>
        <w:rPr/>
        <w:t xml:space="preserve">Նախագիծը բխում է «Հայաստանի վերափոխման ռազմավարություն 2050», «Կառավարության 2021-2026թթ. ծրագիր» /կետ 6.10, 4-րդ ենթակետ/  ռազմավարական փաստաթղթերի դրույթներից: </w:t>
      </w:r>
    </w:p>
    <w:p>
      <w:pPr/>
      <w:r>
        <w:rPr/>
        <w:t xml:space="preserve">Մասնավորապես, հանրային միջոցների օգտագործման հասցեականության բարձրացման և ռեսուրների հավաքագրման արդյունավետության բարձրացման նպատակով կբարելավվեն առկա ընթացակարգերը, կճշտվեն առկա բազաների տվյալները և կբարելավվի քաղաքացիների սպասարկման մակարդակը։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75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3C7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AC1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8C633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19FD3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23EAF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73518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76AE36"/>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81841D"/>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FE052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83042F"/>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A28E19"/>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E69DAF"/>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E761BF"/>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0941C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C41CE2"/>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D0E02A"/>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E8C2B2"/>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26DC4E"/>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F338D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403161"/>
    <w:multiLevelType w:val="multilevel"/>
    <w:lvl w:ilvl="0">
      <w:start w:val="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05067A"/>
    <w:multiLevelType w:val="multilevel"/>
    <w:lvl w:ilvl="0">
      <w:start w:val="9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2026-04-03T13:25:22+04:00</dcterms:created>
  <dcterms:modified xsi:type="dcterms:W3CDTF">2026-04-03T13:25:22+04:00</dcterms:modified>
</cp:coreProperties>
</file>

<file path=docProps/custom.xml><?xml version="1.0" encoding="utf-8"?>
<Properties xmlns="http://schemas.openxmlformats.org/officeDocument/2006/custom-properties" xmlns:vt="http://schemas.openxmlformats.org/officeDocument/2006/docPropsVTypes"/>
</file>