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ԳՈՒՅՔԻ ԿԱՌԱՎԱՐՄԱՆ ՄԱՍԻՆ» ՀԱՅԱՍՏԱՆԻ ՀԱՆՐԱՊԵՏՈՒԹՅԱՆ ՕՐԵՆՔՈՒՄ ԼՐԱՑՈՒՄ ԿԱՏԱՐԵԼՈՒ ՄԱՍԻՆ» 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ԳՈՒՅՔԻ ԿԱՌԱՎԱՐՄԱՆ ՄԱՍԻՆ ՀԱՅԱՍՏԱՆԻ ՀԱՆՐԱՊԵՏՈՒԹՅԱՆ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«Պետական գույքի կառավարման մասին» 2014 թվականի նոյեմբերի 20-ի ՀՕ-158-Ն օրենքի (այսուհետև՝ Օրենք) 22-րդ հոդվածի 3-րդ մասի 1-ին կետում «գնորդին» բառից հետո լրացնել հետևյալ բովանդակությամբ նոր նախադասություն՝</w:t>
      </w:r>
    </w:p>
    <w:p>
      <w:pPr/>
      <w:r>
        <w:rPr/>
        <w:t xml:space="preserve">«։ Տրանսպորտային միջոցների օտարման դեպքում գործարար (ներդրումային) ծրագիր չի ներկայացվում․»։</w:t>
      </w:r>
    </w:p>
    <w:p>
      <w:pPr/>
      <w:r>
        <w:rPr>
          <w:b w:val="1"/>
          <w:bCs w:val="1"/>
        </w:rPr>
        <w:t xml:space="preserve">Հոդված 2.</w:t>
      </w:r>
    </w:p>
    <w:p>
      <w:pPr/>
      <w:r>
        <w:rPr/>
        <w:t xml:space="preserve">1. Սույն օրենքն ուժի մեջ է մտնում սույն օրենքից բխող ենթաօրենսդրական նորմատիվ իրավական ակտն ուժի մեջ մտնելու օրը:</w:t>
      </w:r>
    </w:p>
    <w:p>
      <w:pPr/>
      <w:r>
        <w:rPr/>
        <w:t xml:space="preserve">2. Սույն օրենքից բխող ենթաօրենսդրական նորմատիվ իրավական ակտը Կառավարությունն ընդունում է սույն օրենքի ընդունումից հետո՝ մեկ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</w:t>
      </w:r>
      <w:r>
        <w:rPr>
          <w:b w:val="1"/>
          <w:bCs w:val="1"/>
          <w:u w:val="single"/>
        </w:rPr>
        <w:t xml:space="preserve">                 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2026-04-03T13:31:45+04:00</dcterms:created>
  <dcterms:modified xsi:type="dcterms:W3CDTF">2026-04-03T13:31:45+04:00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