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«ԱՎՏՈՄՈԲԻԼԱՅԻՆ ՏՐԱՆՍՊՈՐՏԻ ՄԱՍԻՆ» ՕՐԵՆՔՈՒՄ ՓՈՓՈԽՈՒԹՅՈՒՆ ԿԱՏԱՐԵԼՈՒ ՄԱՍԻՆ» ՕՐԵՆՔԻ ՆԱԽԱԳԾԻ ԸՆԴՈՒՆՄԱՆ</w:t></w:r><w:bookmarkEnd w:id="0"/></w:p><w:p><w:pPr/><w:r><w:rPr><w:b w:val="1"/><w:bCs w:val="1"/></w:rPr><w:t xml:space="preserve">ՆԱԽԱԳԻԾ 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ՕՐԵՆՔԸ</w:t></w:r></w:p><w:p><w:pPr/><w:r><w:rPr/><w:t xml:space="preserve"> </w:t></w:r></w:p><w:p><w:pPr/><w:r><w:rPr><w:b w:val="1"/><w:bCs w:val="1"/></w:rPr><w:t xml:space="preserve"><<</w:t></w:r><w:r><w:rPr><w:b w:val="1"/><w:bCs w:val="1"/></w:rPr><w:t xml:space="preserve">ԱՎՏՈՄՈԲԻԼԱՅԻՆ</w:t></w:r><w:r><w:rPr/><w:t xml:space="preserve"> </w:t></w:r><w:r><w:rPr><w:b w:val="1"/><w:bCs w:val="1"/></w:rPr><w:t xml:space="preserve">ՏՐԱՆՍՊՈՐՏԻ</w:t></w:r><w:r><w:rPr/><w:t xml:space="preserve"> </w:t></w:r><w:r><w:rPr><w:b w:val="1"/><w:bCs w:val="1"/></w:rPr><w:t xml:space="preserve">ՄԱՍԻՆ</w:t></w:r><w:r><w:rPr><w:b w:val="1"/><w:bCs w:val="1"/></w:rPr><w:t xml:space="preserve">>> </w:t></w:r><w:r><w:rPr><w:b w:val="1"/><w:bCs w:val="1"/></w:rPr><w:t xml:space="preserve"> ՕՐԵՆՔՈՒՄ  ՓՈՓՈԽՈՒԹՅՈՒՆ</w:t></w:r><w:r><w:rPr/><w:t xml:space="preserve"> </w:t></w:r><w:r><w:rPr><w:b w:val="1"/><w:bCs w:val="1"/></w:rPr><w:t xml:space="preserve">ԿԱՏԱՐԵԼՈՒ ՄԱՍԻՆ</w:t></w:r></w:p><w:p><w:pPr/><w:r><w:rPr><w:b w:val="1"/><w:bCs w:val="1"/></w:rPr><w:t xml:space="preserve"> </w:t></w:r></w:p><w:p><w:pPr/><w:r><w:rPr><w:b w:val="1"/><w:bCs w:val="1"/></w:rPr><w:t xml:space="preserve">Հոդված</w:t></w:r><w:r><w:rPr><w:b w:val="1"/><w:bCs w:val="1"/></w:rPr><w:t xml:space="preserve"> 1</w:t></w:r><w:r><w:rPr/><w:t xml:space="preserve">. «Ավտոմոբիլային տրանսպորտի մասին» 2006 թվականի դեկտեմբերի 5-ի ՀՕ-233-Ն օրենքի (այսուհետ օրենք) 11-րդ հոդվածի 12-րդ մասը շարադրել հետևյալ խմբագրությամբ՝</w:t></w:r></w:p><w:p><w:pPr/><w:r><w:rPr/><w:t xml:space="preserve">«12․ Միասնական երթուղային ցանցերի առանձին երթուղիների ուղեգծերի և սխեմաների փոփոխության՝ երկարացման կամ կրճատման, կամ միասնական օպերատորի ընտրության մրցույթով չնախատեսված նոր երթուղիների ձևավորման դեպքում, գործող երթուղու սպասարկումն իրականացնելու համար սահմանված փոխադրավարձը կարող է վերանայվել մրցութային հանձնաժողովի ներկայացմամբ և հաստատվել սույն օրենքի 10-րդ հոդվածի 2-րդ մասով սահմանված` երթուղային ցանցը կազմակերպող համապատասխան մարմնի որոշմամբ, իսկ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սպասարկման դեպքում՝ ավագանու որոշմամբ: Միասնական երթուղային ցանցի առանձին երթուղիների ուղեգծերի և սխեմաների փոփոխության, կամ միասնական երթուղային ցանցում նոր երթուղիների ձևավորման դեպքում փոխադրավարձի սահմանման, ինչպես նաև գործող երթուղիների սպասարկումն իրականացնելու համար սահմանված փոխադրավարձի վերանայման պահանջները հաստատում է Հայաստանի Հանրապետության կառավարությունը։»։</w:t></w:r></w:p><w:p><w:pPr/><w:r><w:rPr/><w:t xml:space="preserve"> </w:t></w:r></w:p><w:p><w:pPr/><w:r><w:rPr><w:b w:val="1"/><w:bCs w:val="1"/></w:rPr><w:t xml:space="preserve">Հոդված 2. Եզրափակիչ մաս և անցումային դրույթ</w:t></w:r></w:p><w:p><w:pPr/><w:r><w:rPr/><w:t xml:space="preserve"> </w:t></w:r></w:p><w:p><w:pPr><w:numPr><w:ilvl w:val="0"/><w:numId w:val="2"/></w:numPr></w:pPr><w:r><w:rPr/><w:t xml:space="preserve">Սույն օրենքն ուժի մեջ է մտնում պաշտոնական հրապարակմանը հաջորդող օրվանից:</w:t></w:r></w:p><w:p><w:pPr><w:numPr><w:ilvl w:val="0"/><w:numId w:val="2"/></w:numPr></w:pPr><w:r><w:rPr/><w:t xml:space="preserve">Սույն օրենքի ընդունմամբ պայմանավորված՝ համապատասխան ենթաօրենսդրական իրավական ակտն ընդունվում է սույն օրենքն ուժի մեջ մտնելուց հետո՝ երեք ամսվա ընթացքում: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6D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2026-04-01T01:46:18+04:00</dcterms:created>
  <dcterms:modified xsi:type="dcterms:W3CDTF">2026-04-01T01:46:18+04:00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