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ՕԳՈՍՏՈՍԻ 10-Ի N 1136-Ն ՈՐՈՇՄԱՆ ՄԵՋ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2006 ԹՎԱԿԱՆԻ ՕԳՈՍՏՈՍԻ 10-Ի N 1136-Ն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օգոստոսի 10-ի «Ցեմենտներին, պորտլանդցեմենտային կլինկերին ներկայացվող պահանջների տեխնիկական կանոնակարգը հաստատելու մասին» N 1136-Ն որոշման 1-ին կետով հաստատված հավելվածի՝</w:t>
      </w:r>
    </w:p>
    <w:p>
      <w:pPr/>
      <w:r>
        <w:rPr/>
        <w:t xml:space="preserve">1) 1-ին կետում «Պորտլանդցեմենտ 2523» բառերը փոխարինել «Պորտլանդցեմենտ 2523 10 000 0, 2523 21 000 0, 2523 29 000 0, 2523 30 000 0, 2523 90 000 0» բառերով.</w:t>
      </w:r>
    </w:p>
    <w:p>
      <w:pPr/>
      <w:r>
        <w:rPr/>
        <w:t xml:space="preserve">2) 3-րդ բաժնի վերնագրում «Շուկա մուտք գործելու պայմանները» բառերը փոխարինել «Շուկայահանմանը ներկայացվող պահանջները» բառերով․</w:t>
      </w:r>
    </w:p>
    <w:p>
      <w:pPr/>
      <w:r>
        <w:rPr/>
        <w:t xml:space="preserve">3) 5-րդ կետում «պորտլանդցեմենտային կլինկերի» բառերից հետո լրացնել «արտադրությունը, փոխադրումը և» բառերով.</w:t>
      </w:r>
    </w:p>
    <w:p>
      <w:pPr/>
      <w:r>
        <w:rPr/>
        <w:t xml:space="preserve">4) N 2 աղյուսակը շարադրել հետևյալ խմբագրությամբ՝</w:t>
      </w:r>
    </w:p>
    <w:p>
      <w:pPr/>
      <w:r>
        <w:rPr/>
        <w:t xml:space="preserve">«Աղյուսակ N 2</w:t>
      </w:r>
    </w:p>
    <w:tbl>
      <w:tblGrid>
        <w:gridCol w:w="1320" w:type="dxa"/>
        <w:gridCol w:w="1380" w:type="dxa"/>
        <w:gridCol w:w="1125" w:type="dxa"/>
        <w:gridCol w:w="855" w:type="dxa"/>
        <w:gridCol w:w="765" w:type="dxa"/>
        <w:gridCol w:w="705" w:type="dxa"/>
        <w:gridCol w:w="1050" w:type="dxa"/>
        <w:gridCol w:w="810" w:type="dxa"/>
        <w:gridCol w:w="2070" w:type="dxa"/>
      </w:tblGrid>
      <w:tblPr>
        <w:tblW w:w="10080" w:type="dxa"/>
        <w:tblLayout w:type="autofit"/>
      </w:tblPr>
      <w:tr>
        <w:trPr/>
        <w:tc>
          <w:tcPr>
            <w:tcW w:w="1320" w:type="dxa"/>
            <w:noWrap/>
          </w:tcPr>
          <w:p>
            <w:pPr/>
            <w:r>
              <w:rPr/>
              <w:t xml:space="preserve">Ամրու</w:t>
            </w:r>
          </w:p>
          <w:p>
            <w:pPr/>
            <w:r>
              <w:rPr/>
              <w:t xml:space="preserve">թյան դասը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Ծռման ամրու</w:t>
            </w:r>
          </w:p>
          <w:p>
            <w:pPr/>
            <w:r>
              <w:rPr/>
              <w:t xml:space="preserve">թյունը 28 օրական հասունացմամբ,</w:t>
            </w:r>
          </w:p>
          <w:p>
            <w:pPr/>
            <w:r>
              <w:rPr/>
              <w:t xml:space="preserve">ՄՊա, ոչ պակաս</w:t>
            </w:r>
          </w:p>
        </w:tc>
        <w:tc>
          <w:tcPr>
            <w:tcW w:w="3450" w:type="dxa"/>
            <w:gridSpan w:val="4"/>
            <w:noWrap/>
          </w:tcPr>
          <w:p>
            <w:pPr/>
            <w:r>
              <w:rPr/>
              <w:t xml:space="preserve">Սեղմման ամրությունը, ՄՊա, օր հասունությամբ</w:t>
            </w:r>
          </w:p>
        </w:tc>
        <w:tc>
          <w:tcPr>
            <w:tcW w:w="1860" w:type="dxa"/>
            <w:gridSpan w:val="2"/>
            <w:noWrap/>
          </w:tcPr>
          <w:p>
            <w:pPr/>
            <w:r>
              <w:rPr/>
              <w:t xml:space="preserve">Կապակցումը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Ծավալի փոփոխման հավասարաչա</w:t>
            </w:r>
          </w:p>
          <w:p>
            <w:pPr/>
            <w:r>
              <w:rPr/>
              <w:t xml:space="preserve">փությունը (ընդարձա</w:t>
            </w:r>
          </w:p>
          <w:p>
            <w:pPr/>
            <w:r>
              <w:rPr/>
              <w:t xml:space="preserve">կումը), մմ, ոչ ավել</w:t>
            </w:r>
          </w:p>
        </w:tc>
      </w:tr>
      <w:tr>
        <w:trPr/>
        <w:tc>
          <w:tcPr>
            <w:tcW w:w="1980" w:type="dxa"/>
            <w:gridSpan w:val="2"/>
            <w:noWrap/>
          </w:tcPr>
          <w:p>
            <w:pPr/>
            <w:r>
              <w:rPr/>
              <w:t xml:space="preserve">Վաղ ամրություն</w:t>
            </w:r>
          </w:p>
        </w:tc>
        <w:tc>
          <w:tcPr>
            <w:tcW w:w="1470" w:type="dxa"/>
            <w:gridSpan w:val="2"/>
            <w:noWrap/>
          </w:tcPr>
          <w:p>
            <w:pPr/>
            <w:r>
              <w:rPr/>
              <w:t xml:space="preserve">Ստանդարտ ամրություն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 օրա</w:t>
            </w:r>
          </w:p>
          <w:p>
            <w:pPr/>
            <w:r>
              <w:rPr/>
              <w:t xml:space="preserve">կան,</w:t>
            </w:r>
          </w:p>
          <w:p>
            <w:pPr/>
            <w:r>
              <w:rPr/>
              <w:t xml:space="preserve">Ոչ պակաս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 օրա</w:t>
            </w:r>
          </w:p>
          <w:p>
            <w:pPr/>
            <w:r>
              <w:rPr/>
              <w:t xml:space="preserve">կան,</w:t>
            </w:r>
          </w:p>
          <w:p>
            <w:pPr/>
            <w:r>
              <w:rPr/>
              <w:t xml:space="preserve">Ոչ պակաս</w:t>
            </w:r>
          </w:p>
        </w:tc>
        <w:tc>
          <w:tcPr>
            <w:tcW w:w="1470" w:type="dxa"/>
            <w:gridSpan w:val="2"/>
            <w:noWrap/>
          </w:tcPr>
          <w:p>
            <w:pPr/>
            <w:r>
              <w:rPr/>
              <w:t xml:space="preserve">28 օրական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Սկիզբ, րոպե,</w:t>
            </w:r>
          </w:p>
          <w:p>
            <w:pPr/>
            <w:r>
              <w:rPr/>
              <w:t xml:space="preserve">Ոչ շուտ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Վերջ, ժամ, ոչ ուշ</w:t>
            </w:r>
          </w:p>
        </w:tc>
      </w:tr>
      <w:tr>
        <w:trPr/>
        <w:tc>
          <w:tcPr>
            <w:tcW w:w="765" w:type="dxa"/>
            <w:noWrap/>
          </w:tcPr>
          <w:p>
            <w:pPr/>
            <w:r>
              <w:rPr/>
              <w:t xml:space="preserve">ոչ պա</w:t>
            </w:r>
          </w:p>
          <w:p>
            <w:pPr/>
            <w:r>
              <w:rPr/>
              <w:t xml:space="preserve">կաս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ոչ ավելի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1․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2․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3․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4․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5․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6․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7․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8․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9․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22․5 N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11.0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22.5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42.5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32․5 N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5.5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16.0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32.5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52.5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32․5 R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5.5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10.0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42․5 N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6.0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10.0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42.5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62.5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42․5 R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6.0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20.0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52․5 N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6.5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20.0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52.5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52․5 R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6.5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30.0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8010" w:type="dxa"/>
            <w:gridSpan w:val="8"/>
            <w:noWrap/>
          </w:tcPr>
          <w:p>
            <w:pPr/>
            <w:r>
              <w:rPr/>
              <w:t xml:space="preserve">Ցեմենտի աղացվածքի մանրությունը ըստ N 008 մաղի վրայի մնացորդի, %, ոչ ավել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tcW w:w="8010" w:type="dxa"/>
            <w:gridSpan w:val="8"/>
            <w:noWrap/>
          </w:tcPr>
          <w:p>
            <w:pPr/>
            <w:r>
              <w:rPr/>
              <w:t xml:space="preserve">Ցեմենտի աղացվածքի մանրությունը ըստ տեսակարար մակերեսի, սմ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/գ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2800-4000</w:t>
            </w:r>
          </w:p>
        </w:tc>
      </w:tr>
    </w:tbl>
    <w:p>
      <w:pPr/>
      <w:r>
        <w:rPr/>
        <w:t xml:space="preserve">».</w:t>
      </w:r>
    </w:p>
    <w:p>
      <w:pPr/>
      <w:r>
        <w:rPr/>
        <w:t xml:space="preserve">5) 15-րդ կետում «ԳՕՍՏ 31108-2003» բառերը փոխարինել «ԳՕՍՏ 31108» բառերով.</w:t>
      </w:r>
    </w:p>
    <w:p>
      <w:pPr/>
      <w:r>
        <w:rPr/>
        <w:t xml:space="preserve">6) 17-րդ կետում «և պահման» բառերը փոխարինել «, իրացման և պահման» բառերով․</w:t>
      </w:r>
    </w:p>
    <w:p>
      <w:pPr/>
      <w:r>
        <w:rPr/>
        <w:t xml:space="preserve">7)․ 30 - 33-րդ և 35-րդ կետերն ուժը կորցրած ճանաչել․</w:t>
      </w:r>
    </w:p>
    <w:p>
      <w:pPr/>
      <w:r>
        <w:rPr/>
        <w:t xml:space="preserve">8)․ 39-րդ կետում « և այլ» բառերից առաջ լրացնել «օրենքներով» բառը․</w:t>
      </w:r>
    </w:p>
    <w:p>
      <w:pPr/>
      <w:r>
        <w:rPr/>
        <w:t xml:space="preserve">9)․ 11-րդ բաժնում տեխնիկական կանոնակարգով սահմանված պահանջների կատարումն ապահովող ստանդարտների ցանկը լրացնել հետևյալ տողերով`</w:t>
      </w:r>
    </w:p>
    <w:p>
      <w:pPr/>
      <w:r>
        <w:rPr/>
        <w:t xml:space="preserve">«</w:t>
      </w:r>
    </w:p>
    <w:tbl>
      <w:tblGrid>
        <w:gridCol w:w="2070" w:type="dxa"/>
        <w:gridCol w:w="7290" w:type="dxa"/>
      </w:tblGrid>
      <w:tblPr>
        <w:tblW w:w="0" w:type="auto"/>
        <w:tblLayout w:type="autofit"/>
      </w:tblPr>
      <w:tr>
        <w:trPr/>
        <w:tc>
          <w:tcPr>
            <w:tcW w:w="2070" w:type="dxa"/>
            <w:noWrap/>
          </w:tcPr>
          <w:p>
            <w:pPr/>
            <w:r>
              <w:rPr/>
              <w:t xml:space="preserve">ԳՕՍՏ 30515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Ցեմենտներ․ Ընդհանուր տեխնիկական պայմաններ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/>
              <w:t xml:space="preserve">ԳՕՍՏ 31108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Ցեմենտներ համաշինարարական․ Տեխնիկական պայմաններ</w:t>
            </w:r>
          </w:p>
        </w:tc>
      </w:tr>
    </w:tbl>
    <w:p>
      <w:pPr/>
      <w:r>
        <w:rPr/>
        <w:t xml:space="preserve">»։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էկոնոմիկայի նախարարին՝ սույն որոշման պաշտոնական հրապարակմանը հաջորդող երկամսյա ժամկետում ապահովել որոշման 1-ին կետի 9-րդ ենթակետով սահմանված պահանջների կիրարկումն ապահովող ստանդարտների ցանկի հրապարակումը։</w:t>
      </w:r>
    </w:p>
    <w:p>
      <w:pPr>
        <w:numPr>
          <w:ilvl w:val="0"/>
          <w:numId w:val="3"/>
        </w:numPr>
      </w:pPr>
      <w:r>
        <w:rPr/>
        <w:t xml:space="preserve">Սույն կետն ուժի մեջ է մտնում պաշտոնական հրապարակման օրվան հաջորդող 180-երորդ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BA7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71238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2026-03-31T06:20:36+04:00</dcterms:created>
  <dcterms:modified xsi:type="dcterms:W3CDTF">2026-03-31T06:20:36+04:00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