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քաղաքի գազամատակարարմանը լրացուցիչ նոր հզորություններով ապահովելու ծրագրին հավանություն տալու մասին» ՀՀ կառավարության որոշման նախագիծ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___ ____________ 2022 թվականի N ___-Լ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ԵՐԵՎԱՆ ՔԱՂԱՔԸ ԳԱԶԱՄԱՏԱԿԱՐԱՐՄԱՆ ԼՐԱՑՈՒՑԻՉ ՆՈՐ ՀԶՈՐՈՒԹՅՈՒՆՆԵՐՈՎ ԱՊԱՀՈՎԵԼՈՒ ԾՐԱԳՐԻՆ ՀԱՎԱՆՈՒԹՅՈՒՆ ՏԱԼՈՒ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Հայաստանի Հանրապետության Սահմանադրության 146-րդ հոդվածի 4-րդ մասով և հիմք ընդունելով Հայաստանի Հանրապետության կառավարության 2021 թվականի օգոստոսի 18-ի N 1363 - Ա որոշմամբ հաստատված հավելվածի 3-րդ կետը՝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Հավանություն տալ Երևան քաղաքը գազամատակարարման լրացուցիչ նոր հզորություններով ապահովելու ծրագրին (այսուհետ՝ Ծրագիր)՝ համաձայն սույն որոշման N 1 հավելվածի։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>
        <w:numPr>
          <w:ilvl w:val="0"/>
          <w:numId w:val="3"/>
        </w:numPr>
      </w:pPr>
      <w:r>
        <w:rPr/>
        <w:t xml:space="preserve">Ծրագիրն իրականացվում է Հայաստանի Հանրապետության տարածքային կառավարման և ենթակառուցվածքների նախարարության (այսուհետ՝ Նախարարություն) կողմից՝ համաձայն սույն որոշման N 2 հավելվածով նախատեսված աշխատանքների իրականացման ժամանակացույցի .</w:t>
      </w:r>
    </w:p>
    <w:p>
      <w:pPr>
        <w:numPr>
          <w:ilvl w:val="0"/>
          <w:numId w:val="3"/>
        </w:numPr>
      </w:pPr>
      <w:r>
        <w:rPr/>
        <w:t xml:space="preserve">Ծրագրի շրջանակում սույն որոշման N 2 հավելվածով նախատեսված ժամանակացույցի համաձայն յուրաքանչյուր փուլում ստեղծված հիմնական միջոցները օրենսդրության և Հայաստանի Հանրապետության հանրային ծառայությունները կարգավորող հանձնաժողովի (այսուհետ՝ Հանձնաժողով) սահմանած համապատասխան կարգերի համաձայն հանձնվում են «Գազպրոմ Արմենիա» փակ բաժնետիրական ընկերությանը (այսուհետ՝ Ընկերություն).</w:t>
      </w:r>
    </w:p>
    <w:p>
      <w:pPr>
        <w:numPr>
          <w:ilvl w:val="0"/>
          <w:numId w:val="3"/>
        </w:numPr>
      </w:pPr>
      <w:r>
        <w:rPr/>
        <w:t xml:space="preserve">սույն կետի 2-րդ ենթակետով Ընկերությանը հանձնված հիմնական միջոցների արժեքին համարժեք գումարը վերադարձվում է պետությանը Ընկերության կողմից, այդ հիմնական միջոցների արժեքին համարժեք գումարը գազի սակագին ներառելու հաշվին.</w:t>
      </w:r>
    </w:p>
    <w:p>
      <w:pPr>
        <w:numPr>
          <w:ilvl w:val="0"/>
          <w:numId w:val="3"/>
        </w:numPr>
      </w:pPr>
      <w:r>
        <w:rPr/>
        <w:t xml:space="preserve">սույն կետի 2-րդ ենթակետի համաձայն Ընկերությանը հանձնված հիմնական միջոցների արժեքին համարժեք գումարը ենթակա է փոխանցման Հայաստանի Հանրապետության պետական բյուջե 5 տարվա ընթացքում՝ հավասարաչափ։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տարածքային կառավարման և ենթակառուցվածքների նախարարին՝</w:t>
      </w:r>
    </w:p>
    <w:p>
      <w:pPr>
        <w:numPr>
          <w:ilvl w:val="0"/>
          <w:numId w:val="5"/>
        </w:numPr>
      </w:pPr>
      <w:r>
        <w:rPr/>
        <w:t xml:space="preserve">ապահովել՝ Ծրագրի իրականացումը Հայաստանի Հանրապետության օրենսդրությանը համապատասխան և դրա համար անհրաժեշտ գումարները նախատեսել N 2 հավելվածով նախատեսված ժամանակացույցին և Ծրագրի փուլերին համապատասխան յուրաքանչյուր տարվա պետական բյուջեում, միաժամանակ նախատեսելով ֆինանսական միջոցներ նաև Ծրագրի իրականացման համար անհրաժեշտ պետական տուրքերի և այլ ծասխերի վճարման, այդ թվում հողի կատեգորիայի փոփոխման, ՇՄԱԳ փորձաքննության անցկացման, ստեղծված նոր հիմնական միջոցների պետական իրավունքի գրանցման, ընտրված տարածքների ինժեներաերկրաբանական հետազննության և նախագծային փաստաթղթերի քաղաքաշինական պարզ փորձաքննության ծախսերի համար.</w:t>
      </w:r>
    </w:p>
    <w:p>
      <w:pPr>
        <w:numPr>
          <w:ilvl w:val="0"/>
          <w:numId w:val="5"/>
        </w:numPr>
      </w:pPr>
      <w:r>
        <w:rPr/>
        <w:t xml:space="preserve">համագործակցելով Երևանի քաղաքապետի և անհրաժեշության դեպքում նաև այլ համայնքների ղեկավարների հետ` Ծրագրի իրականացման նպատակով ապահովել անհրաժեշտ հողհատարածքների ձեռքբերումը, միաժամանակ, անհրաժեշտությունից ելնելով, Հայաստանի Հանրապետության կառավարություն ներկայացնել հանրային գերակա շահ ճանաչելու մասին որոշման նախագիծ.</w:t>
      </w:r>
    </w:p>
    <w:p>
      <w:pPr>
        <w:numPr>
          <w:ilvl w:val="0"/>
          <w:numId w:val="5"/>
        </w:numPr>
      </w:pPr>
      <w:r>
        <w:rPr/>
        <w:t xml:space="preserve">սույն որոշման 2-րդ կետի 2-րդ և 3-րդ ենթակետերով սահմանված պայմաններով Ընկերության հետ կնքել առուվաճառքի պայմանագրեր՝ ապահովելով Ծրագրի իրականացման արդյունքում ստեղծված հիմնական միջոցների հանձնում-ընդունումը.</w:t>
      </w:r>
    </w:p>
    <w:p>
      <w:pPr>
        <w:numPr>
          <w:ilvl w:val="0"/>
          <w:numId w:val="5"/>
        </w:numPr>
      </w:pPr>
      <w:r>
        <w:rPr/>
        <w:t xml:space="preserve">Ծրագրի իրականացման նախագծային փաստաթղթերը համաձայնեցնել Ընկերության հետ.</w:t>
      </w:r>
    </w:p>
    <w:p>
      <w:pPr>
        <w:numPr>
          <w:ilvl w:val="0"/>
          <w:numId w:val="5"/>
        </w:numPr>
      </w:pPr>
      <w:r>
        <w:rPr/>
        <w:t xml:space="preserve">Ծրագրի իրականացման շրջանակում շինարարական աշխատանքների նկատմամբ որակի տեխնիկական հսկողությունը իրականացնել Հայաստանի Հանրապետության օրենսդրությանը համապատասխան։</w:t>
      </w:r>
    </w:p>
    <w:p>
      <w:pPr>
        <w:numPr>
          <w:ilvl w:val="0"/>
          <w:numId w:val="5"/>
        </w:numPr>
      </w:pPr>
      <w:r>
        <w:rPr/>
        <w:t xml:space="preserve">Ծրագրի իրականացման շրջանակում համագործակցել հանրային ծառայություններ մատուցող այլ կազմակերպությունների հետ՝ Ծրագրի իրականացման ընթացքում վերջիններիս կողմից իրենց ենթակառուցվածքների փոխարինման կամ նոր ենթակառուցվածքների ստեղծման նպատակով:</w:t>
      </w:r>
    </w:p>
    <w:p>
      <w:pPr>
        <w:numPr>
          <w:ilvl w:val="0"/>
          <w:numId w:val="6"/>
        </w:numPr>
      </w:pPr>
      <w:r>
        <w:rPr/>
        <w:t xml:space="preserve">Առաջարկել Հանձնաժողովին՝ սույն որոշման 2-րդ կետի 3)-րդ և 4)-րդ ենթակետով նախատեսված գումարը նույն ենթակետերով նախատեսված պայմաններով ներառել Ընկերության կողմից սպառողներին վաճառվող բնական գազի սակագների հաշվարկներում.</w:t>
      </w:r>
    </w:p>
    <w:p>
      <w:pPr>
        <w:numPr>
          <w:ilvl w:val="0"/>
          <w:numId w:val="6"/>
        </w:numPr>
      </w:pPr>
      <w:r>
        <w:rPr/>
        <w:t xml:space="preserve">Հայաստանի Հանրապետության քաղաքաշինության կոմիտեի նախագահին՝ Ծրագրի իրականացման նպատակով համագործակցել Նախարարության հետ՝ Ծրագրի իրականացման համար անհրաժեշտ քաղաքաշինական նորմատիվ պայմանների ապահովման համար։</w:t>
      </w:r>
    </w:p>
    <w:p>
      <w:pPr>
        <w:numPr>
          <w:ilvl w:val="0"/>
          <w:numId w:val="6"/>
        </w:numPr>
      </w:pPr>
      <w:r>
        <w:rPr/>
        <w:t xml:space="preserve">Առաջարկել Երևանի քաղաքապետին Ծրագրի իրականացման նպատակով համագործակցել Նախարարության հետ՝ Ծրագրի իրականացման համար անհրաժեշտ թույլտվությունների և համաձայնեցումների ստացման գործընթացում։</w:t>
      </w:r>
    </w:p>
    <w:p>
      <w:pPr>
        <w:numPr>
          <w:ilvl w:val="0"/>
          <w:numId w:val="6"/>
        </w:numPr>
      </w:pPr>
      <w:r>
        <w:rPr/>
        <w:t xml:space="preserve">Առաջարկել Ընկերությանը` Ծրագրի իրականացման ողջ ընթացքում համագործակցել Նախարարության հետ՝ անհրաժեշտ ելակետային տվյալների տրամադրման, նախագծերի համաձայնեցման և մասնագիտական աջակցության ցուցաբերման նպատակով։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 ՎԱՐՉԱՊԵՏ                                                                      Ն․ՓԱՇԻՆՅԱՆ</w:t>
      </w:r>
    </w:p>
    <w:p>
      <w:pPr/>
      <w:r>
        <w:rPr/>
        <w:t xml:space="preserve"> </w:t>
      </w:r>
    </w:p>
    <w:p>
      <w:pPr/>
      <w:r>
        <w:rPr/>
        <w:t xml:space="preserve">Հավելված N 1</w:t>
      </w:r>
    </w:p>
    <w:p>
      <w:pPr/>
      <w:r>
        <w:rPr/>
        <w:t xml:space="preserve">ՀՀ Կառավարության 2022 թվականի</w:t>
      </w:r>
    </w:p>
    <w:p>
      <w:pPr/>
      <w:r>
        <w:rPr/>
        <w:t xml:space="preserve">-----ի N——Ն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ԾՐԱԳԻՐ</w:t>
      </w:r>
    </w:p>
    <w:p>
      <w:pPr/>
      <w:r>
        <w:rPr>
          <w:b w:val="1"/>
          <w:bCs w:val="1"/>
        </w:rPr>
        <w:t xml:space="preserve">ԵՐԵՎԱՆ ՔԱՂԱՔԸ ԳԱԶԱՄԱՏԱԿԱՐԱՐՄԱՆ ԼՐԱՑՈՒՑԻՉ ՆՈՐ ՀԶՈՐՈՒԹՅՈՒՆՆԵՐՈՎ ԱՊԱՀՈՎԵԼՈՒ </w:t>
      </w:r>
    </w:p>
    <w:p>
      <w:pPr/>
      <w:r>
        <w:rPr/>
        <w:t xml:space="preserve">          Երևան քաղաքում վերջին տարիների ընթացքում իրականացվող խոշորամասշտաբ կառուցապատմամբ արդյունքում գազասպառման ծավալների պահանջի աճով պայմանավորված ստեղծված իրավիճակում, Երևան քաղաքը սնող թվով 4 գազաբաշխիչ կայանների (այսուհետ` ԳԲԿ) ու գազամատակարարումն ապահովող գազի բաշխիչ ցանցի գազատար խողովակների թողունակությունը գրեթե սպառվել է և նոր գազասպառման համակարգերի միացումը գործող գազի բաշխիչ ցանցին, ելնելով անխափան, հուսալի ու անհրաժեշտ ռեժիմով գազամատակարարման ապահովման պահանջներից, դարձել է անհնար:</w:t>
      </w:r>
    </w:p>
    <w:p>
      <w:pPr/>
      <w:r>
        <w:rPr/>
        <w:t xml:space="preserve">          Իրավիճակի պարտադրմամբ, հաշվի առնելով Ընկերության նկատմամբ սահմանված չափորոշիչները, հարցի լուծման միակ հնարավոր տարբերակը սպառողների գազասպառման համակարգերի գազամատակարարման ցանցին միացման տեխնիկական պայմանների տրամադրումն է քաղաքի սահմաններից դուրս տեղակայված թվով 4 ԳԲԿ-ները սնող բարձր ճնշման կողմնատար գազատարներից: Սակայն այս պարագայում կախված նոր գազասպառման համակարգի տեղադիրքից, յուրաքանչյուր սպառողին, վերը նշված լուծմամբ առանձին տրամադրված գազաֆիկացման տեխնիկական պայմաններին համապատասխան շինհավաքակցման աշխատանքների կազմակերպումը գործնականորեն դառնում է անարդյունավետ կամ պրակտիկորեն անիրագործելի:</w:t>
      </w:r>
    </w:p>
    <w:p>
      <w:pPr/>
      <w:r>
        <w:rPr/>
        <w:t xml:space="preserve">          Գազամատակարարման ռեժիմների բարելավման նպատակով քաղաքաշինական ու տեխնիկական հնարավոր լուծումների համադրմամբ Ընկերության կողմից ուսումասիրվել է տեղադիրքային առումով նույն ուղղությամբ շինարարություն իրականացնող կառուցապատողների աշխատանքները և մշակվել են 4 հիմնական ուղղություններով թվով 4 կողմնատար գազատարների, 4 նոր գազի ճնշման կարգավորման հանգույցների,  նոր ԳԲԿ-ների ու միջին ճնշման հիմնական սնող գազատարների կառուցման նախնական էսքիզային լուծումներ, որոնց համար կպահանջվի շուրջ 20 մլրդ դրամ ներդրում (առանց ԱԱՀ): Հարկ է նշել, որ պահանջվող ներդրումները հաշվարկված են խոշորացված ցուցիչներով, որոնք կողմնորոշիչ բնույթ են կրում և կարող են փոփոխվել նախագծային աշխատանքների ընթացքում: Արժեքում ներառված չեն հողհատկացման, տարածքների ձեռքբերման, սեփականատերերին փոխհատուցման և նմանաբնույթ այլ ծախսերը, որոնք նույնպես կճշգրտվեն նախագծման փուլում։</w:t>
      </w:r>
    </w:p>
    <w:p>
      <w:pPr/>
      <w:r>
        <w:rPr/>
        <w:t xml:space="preserve">          Քաղաքաշինական տեսանկյունից նորմատիվ իրավական փաստաթղթերով առաջադրված դրույթների պայմաններում Ընկերության կողմից առաջարկվող միասնական մոտեցման ցուցաբերման դեպքում է հնարավոր միայն կյանքի կոչել նախագիծը:</w:t>
      </w:r>
    </w:p>
    <w:p>
      <w:pPr/>
      <w:r>
        <w:rPr/>
        <w:t xml:space="preserve">          Միաժամանակ ներկայիս խիտ բնակեցվածության պայմաններում ազգաբնակչության բնականոն կյանքը չխաթարելու նպատակով անհրաժեշտ է դիտարկել նախագծի փուլային իրականացման հնարավորությունը, որը նախնական քննարկվել է նաև Երևանի քաղաքապետարանի ներկայացուցիչների հետ և հաշվի է առնվել նաև Երևան քաղաքի տարածքային զարգացման միտումների վերաբերյալ քաղաքապետարանի խորհրդատվական տեղեկատվությունը.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I փուլ – Երևան քաղաքի Հարավ-Արևմտյան հատված</w:t>
      </w:r>
    </w:p>
    <w:p>
      <w:pPr/>
      <w:r>
        <w:rPr/>
        <w:t xml:space="preserve">4-րդ ԳԲԿ-ն սնող կողմնատարից նոր ԳՃԿՀ-ի կառուցում և հիմնական սնող գազատարի կառուցում. նախնական մոտավոր ուղեգիծ՝</w:t>
      </w:r>
    </w:p>
    <w:p>
      <w:pPr/>
      <w:r>
        <w:rPr/>
        <w:t xml:space="preserve">Ճյուղ 1</w:t>
      </w:r>
    </w:p>
    <w:p>
      <w:pPr/>
      <w:r>
        <w:rPr/>
        <w:t xml:space="preserve">գ. Արբաթ – գ. Գեղանիստ- ք.Երևան Իսակովի պող.</w:t>
      </w:r>
    </w:p>
    <w:p>
      <w:pPr/>
      <w:r>
        <w:rPr/>
        <w:t xml:space="preserve">Ճյուղ 2</w:t>
      </w:r>
    </w:p>
    <w:p>
      <w:pPr/>
      <w:r>
        <w:rPr/>
        <w:t xml:space="preserve">Իսակովի պող. – Ա. Բաբաջանյան փող. – Գուսան Շերամի փող. – Տիչինայի փող.</w:t>
      </w:r>
    </w:p>
    <w:p>
      <w:pPr/>
      <w:r>
        <w:rPr/>
        <w:t xml:space="preserve">Ճյուղ 3</w:t>
      </w:r>
    </w:p>
    <w:p>
      <w:pPr/>
      <w:r>
        <w:rPr/>
        <w:t xml:space="preserve">Տիչինայի փող. – Նոյ թաղամաս – Լենինգրադյան փող.</w:t>
      </w:r>
    </w:p>
    <w:p>
      <w:pPr/>
      <w:r>
        <w:rPr/>
        <w:t xml:space="preserve">Ճյուղ 4</w:t>
      </w:r>
    </w:p>
    <w:p>
      <w:pPr/>
      <w:r>
        <w:rPr/>
        <w:t xml:space="preserve">Տիչինայի թաղ. – Սիլիկյան թաղ.</w:t>
      </w:r>
    </w:p>
    <w:p>
      <w:pPr/>
      <w:r>
        <w:rPr>
          <w:b w:val="1"/>
          <w:bCs w:val="1"/>
        </w:rPr>
        <w:t xml:space="preserve">II փուլ – Երևան քաղաքի Արևելյան հատված</w:t>
      </w:r>
    </w:p>
    <w:p>
      <w:pPr/>
      <w:r>
        <w:rPr/>
        <w:t xml:space="preserve">Ջրվեժի ԳԲԿ-ն սնող կողմնատարից նոր ԳՃԿՀ-ի կառուցում և հիմնական սնող գազատարի կառուցում. նախնական մոտավոր ուղեգիծ՝</w:t>
      </w:r>
    </w:p>
    <w:p>
      <w:pPr/>
      <w:r>
        <w:rPr/>
        <w:t xml:space="preserve">Ճյուղ 1</w:t>
      </w:r>
    </w:p>
    <w:p>
      <w:pPr/>
      <w:r>
        <w:rPr/>
        <w:t xml:space="preserve">Ջրվեժի ամառանոցային թաղ – Քոչինյան փող.– Բագրևանդ թաղ.</w:t>
      </w:r>
    </w:p>
    <w:p>
      <w:pPr/>
      <w:r>
        <w:rPr/>
        <w:t xml:space="preserve">Ճյուղ 2</w:t>
      </w:r>
    </w:p>
    <w:p>
      <w:pPr/>
      <w:r>
        <w:rPr/>
        <w:t xml:space="preserve">Քոչինյան փող. – Թևոսյան փող. – Գյուրջյան փող. – Նոր Նորք թաղ. – Մյասնիկյան պող.</w:t>
      </w:r>
    </w:p>
    <w:p>
      <w:pPr/>
      <w:r>
        <w:rPr>
          <w:b w:val="1"/>
          <w:bCs w:val="1"/>
        </w:rPr>
        <w:t xml:space="preserve">III փուլ – Երևան քաղաքի Հյուսիս-Արևելյան հատված</w:t>
      </w:r>
    </w:p>
    <w:p>
      <w:pPr/>
      <w:r>
        <w:rPr/>
        <w:t xml:space="preserve">1-ին ԳԲԿ-ն սնող կողմնատարից նոր ԳՃԿՀ-ի կառուցում և հիմնական սնող գազատարի կառուցում. նախնական մոտավոր ուղեգիծ՝</w:t>
      </w:r>
    </w:p>
    <w:p>
      <w:pPr/>
      <w:r>
        <w:rPr/>
        <w:t xml:space="preserve">Ճյուղ 1</w:t>
      </w:r>
    </w:p>
    <w:p>
      <w:pPr/>
      <w:r>
        <w:rPr/>
        <w:t xml:space="preserve">գ. Առինջի Բ թաղ. - Թբիլիսյան խճ. – Քանաքեռ ՀԷԿ թաղ. – Արաբկիրի այգի –Հրազդանի կիրճ - Դավիթաշենի կամուրջ – ԱԻՆ և հակառակ ուղղությամբ դեպի Աշտարակի խճ.</w:t>
      </w:r>
    </w:p>
    <w:p>
      <w:pPr/>
      <w:r>
        <w:rPr/>
        <w:t xml:space="preserve">Ճյուղ 2</w:t>
      </w:r>
    </w:p>
    <w:p>
      <w:pPr/>
      <w:r>
        <w:rPr/>
        <w:t xml:space="preserve">Արաբկիրի այգի – Փափազյան փող. – Վ. Անտառային փող. – Ավետիսյան փող. – Բաղրամյան պող. - Մեստոպ Մաշտոցի պող.</w:t>
      </w:r>
    </w:p>
    <w:p>
      <w:pPr/>
      <w:r>
        <w:rPr/>
        <w:t xml:space="preserve">Ճյուղ 3</w:t>
      </w:r>
    </w:p>
    <w:p>
      <w:pPr/>
      <w:r>
        <w:rPr/>
        <w:t xml:space="preserve">Թբիլիսյան խճ. սկզբնամաս – Աճառյան փող.– Բուսաբանական այգի – Ալմաստի գործ. – Նոր Զեյթուն թաղ.</w:t>
      </w:r>
    </w:p>
    <w:p>
      <w:pPr/>
      <w:r>
        <w:rPr>
          <w:b w:val="1"/>
          <w:bCs w:val="1"/>
        </w:rPr>
        <w:t xml:space="preserve">IV փուլ – Երևան քաղաքի Հարավային հատված</w:t>
      </w:r>
    </w:p>
    <w:p>
      <w:pPr/>
      <w:r>
        <w:rPr/>
        <w:t xml:space="preserve">2-րդ ԳԲԿ-ն սնող կողմնատարից նոր ԳՃԿՀ-ի կառուցում և հիմնական սնող գազատարի կառուցում. նախնական մոտավոր ուղեգիծ՝</w:t>
      </w:r>
    </w:p>
    <w:p>
      <w:pPr/>
      <w:r>
        <w:rPr/>
        <w:t xml:space="preserve">Ճյուղ 1</w:t>
      </w:r>
    </w:p>
    <w:p>
      <w:pPr/>
      <w:r>
        <w:rPr/>
        <w:t xml:space="preserve">Նուբարաշեն թաղ. – Թեյշեբայինի փող. – Աթոյան փող. – Ռոստոմի փող.</w:t>
      </w:r>
    </w:p>
    <w:p>
      <w:pPr/>
      <w:r>
        <w:rPr/>
        <w:t xml:space="preserve">Ճյուղ 2</w:t>
      </w:r>
    </w:p>
    <w:p>
      <w:pPr/>
      <w:r>
        <w:rPr/>
        <w:t xml:space="preserve">Թեյշեբայինի փող. – Էրեբունի օդանավակայանի խաչմ. – Շիրակի փող. – Արտաշեսյան փող. – Ծերեթելի փող.</w:t>
      </w:r>
    </w:p>
    <w:p>
      <w:pPr/>
      <w:r>
        <w:rPr/>
        <w:t xml:space="preserve">Ճյուղ 3</w:t>
      </w:r>
    </w:p>
    <w:p>
      <w:pPr/>
      <w:r>
        <w:rPr/>
        <w:t xml:space="preserve">Քրիստափորի փող. – Տիգրան Մեծի պող. – Արշակունյաց պող.</w:t>
      </w:r>
    </w:p>
    <w:p>
      <w:pPr/>
      <w:r>
        <w:rPr>
          <w:b w:val="1"/>
          <w:bCs w:val="1"/>
        </w:rPr>
        <w:t xml:space="preserve">Կանխատեսվող ներդրումներ</w:t>
      </w:r>
    </w:p>
    <w:p>
      <w:pPr/>
      <w:r>
        <w:rPr/>
        <w:t xml:space="preserve">          Աշխատանքներն առաջարկվում է  կազմկերպել 4 փուլերով՝ թվով 4 ուղղություններով, առկա կողմնատար գազատարներից 4 նոր ԳՃԿՀ-ների կառուցմամբ, որոնց համար նախնական խոշորացված ցուցիչներով կպահանջվեն հետևյալ ներդրումները. </w:t>
      </w:r>
    </w:p>
    <w:p>
      <w:pPr/>
      <w:r>
        <w:rPr/>
        <w:t xml:space="preserve">I փուլ – Երևան քաղաքի Հարավ-Արևմտյան հատված      - 5.3 մլրդ դրամ* (առանց ԱԱՀ)</w:t>
      </w:r>
    </w:p>
    <w:p>
      <w:pPr/>
      <w:r>
        <w:rPr/>
        <w:t xml:space="preserve">II փուլ – Երևան քաղաքի Արևելյան հատված - 2.0 մլրդ դրամ* (առանց ԱԱՀ)</w:t>
      </w:r>
    </w:p>
    <w:p>
      <w:pPr/>
      <w:r>
        <w:rPr/>
        <w:t xml:space="preserve">III փուլ – Երևան քաղաքի Հյուսիս-Արևելյան հատված- 8.9 մլրդ դրամ*(առանց ԱԱՀ)</w:t>
      </w:r>
    </w:p>
    <w:p>
      <w:pPr/>
      <w:r>
        <w:rPr/>
        <w:t xml:space="preserve">IV փուլ – Երևան քաղաքի Հարավային հատված - 3.8 մլրդ դրամ* (առանց ԱԱՀ)</w:t>
      </w:r>
    </w:p>
    <w:p>
      <w:pPr/>
      <w:r>
        <w:rPr/>
        <w:t xml:space="preserve">          Պահանջվող ներդրումները հաշվարկված են խոշորացված ցուցիչներով, որոնք կողմնորոշիչ բնույթ են կրում և կարող են փոփոխվել նախագծային աշխատանքների ընթացքում: Արժեքում ներառված չեն հողհատկացման, տարածքների ձեռքբերման, սեփականատերերին փոխհատուցման և նմանաբնույթ այլ ծախսերը:</w:t>
      </w:r>
    </w:p>
    <w:p>
      <w:pPr/>
      <w:r>
        <w:rPr>
          <w:b w:val="1"/>
          <w:bCs w:val="1"/>
        </w:rPr>
        <w:t xml:space="preserve">Աշխատանքների կանխատեսվող ժամանակացույց</w:t>
      </w:r>
    </w:p>
    <w:p>
      <w:pPr/>
      <w:r>
        <w:rPr/>
        <w:t xml:space="preserve">          Նախագծանախահաշվային փաստաթղթերի կազմելու համար կպահանջվի շուրջ 2 տարի ժամանակ, որոնց ավարտից և վերջնական համաձայնեցումներից հետո՝ փուլային տարբերակով հնարավոր կլինեն իրականացնել աշխատանքները:</w:t>
      </w:r>
    </w:p>
    <w:p>
      <w:pPr/>
      <w:r>
        <w:rPr/>
        <w:t xml:space="preserve">I փուլ – Երևան քաղաքի Հարավ-Արևմտյան հատված      - 18 ամիս.</w:t>
      </w:r>
    </w:p>
    <w:p>
      <w:pPr/>
      <w:r>
        <w:rPr/>
        <w:t xml:space="preserve">II փուլ – Երևան քաղաքի Արևելյան հատված                   - 18 ամիս.</w:t>
      </w:r>
    </w:p>
    <w:p>
      <w:pPr/>
      <w:r>
        <w:rPr/>
        <w:t xml:space="preserve">III փուլ – Երևան քաղաքի Հյուսիս-Արևելյան հատված      - 36 ամիս.</w:t>
      </w:r>
    </w:p>
    <w:p>
      <w:pPr/>
      <w:r>
        <w:rPr/>
        <w:t xml:space="preserve">IV փուլ – Երևան քաղաքի Հարավային հատված             - 18 ամիս.</w:t>
      </w:r>
    </w:p>
    <w:p>
      <w:pPr/>
      <w:r>
        <w:rPr/>
        <w:t xml:space="preserve">          Հարկ է նշել, որ Երևանի քաղաքապետարանի հետ համաձայնեցված կարգով միմյանցից տեղադիրքային առումով հեռու գտնվող հատվածներում հնարավոր է կիրառել զուգահեռ աշխատանքների կազմակերպման սկզբունք:</w:t>
      </w:r>
    </w:p>
    <w:p>
      <w:pPr/>
      <w:r>
        <w:rPr/>
        <w:t xml:space="preserve"> </w:t>
      </w:r>
    </w:p>
    <w:tbl>
      <w:tblGrid>
        <w:gridCol w:w="1140" w:type="dxa"/>
        <w:gridCol w:w="10920" w:type="dxa"/>
        <w:gridCol w:w="10920" w:type="dxa"/>
        <w:gridCol w:w="1440" w:type="dxa"/>
        <w:gridCol w:w="1890" w:type="dxa"/>
        <w:gridCol w:w="1830" w:type="dxa"/>
      </w:tblGrid>
      <w:tblPr>
        <w:tblW w:w="10920" w:type="dxa"/>
        <w:tblLayout w:type="autofit"/>
      </w:tblPr>
      <w:tr>
        <w:trPr/>
        <w:tc>
          <w:tcPr>
            <w:tcW w:w="1092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ԽՈՇՈՐԱՑՎԱԾ  ՆԱԽԱՀԱՇԻՎ</w:t>
            </w:r>
            <w:br/>
            <w:r>
              <w:rPr>
                <w:b w:val="1"/>
                <w:bCs w:val="1"/>
              </w:rPr>
              <w:t xml:space="preserve"> աշխատանքների արժեքի հաշվարկի </w:t>
            </w:r>
          </w:p>
        </w:tc>
      </w:tr>
      <w:tr>
        <w:trPr/>
        <w:tc>
          <w:tcPr>
            <w:tcW w:w="1092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Երևան քաղաքի ամբողջական գազամատակարարում </w:t>
            </w:r>
            <w:br/>
            <w:r>
              <w:rPr>
                <w:b w:val="1"/>
                <w:bCs w:val="1"/>
              </w:rPr>
              <w:t xml:space="preserve"> ԳԲԿ-1, ԳԲԿ-2, ԳԲԿ-4 և ԳԲԿ Ջրվեժը սնող կողմնատար գազատարներից (նոր ԳՃԿՀ-ների կառուցմամբ)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Աշխատանքների, նյութերի և սարքավորումների</w:t>
            </w:r>
            <w:br/>
            <w:r>
              <w:rPr/>
              <w:t xml:space="preserve">  անվանումը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Արժեքը*</w:t>
            </w:r>
            <w:br/>
            <w:r>
              <w:rPr/>
              <w:t xml:space="preserve"> մլն. դրամ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Ծանոթություն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20" w:type="dxa"/>
            <w:noWrap/>
          </w:tcPr>
          <w:p>
            <w:pPr/>
            <w:r>
              <w:rPr>
                <w:b w:val="1"/>
                <w:bCs w:val="1"/>
              </w:rPr>
              <w:t xml:space="preserve">Կողմնատար գազատարի և ԳՃԿՀ-ի կառուցում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4,0</w:t>
            </w:r>
          </w:p>
        </w:tc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 1 477,00 </w:t>
            </w:r>
          </w:p>
        </w:tc>
        <w:tc>
          <w:tcPr>
            <w:tcW w:w="18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20" w:type="dxa"/>
            <w:noWrap/>
          </w:tcPr>
          <w:p>
            <w:pPr/>
            <w:r>
              <w:rPr>
                <w:b w:val="1"/>
                <w:bCs w:val="1"/>
              </w:rPr>
              <w:t xml:space="preserve">ԳՃԿՀ-ներից հիմնական Մ/Ճ գազատարների կառուցում 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կմ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95,5</w:t>
            </w:r>
          </w:p>
        </w:tc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 18 571,00 </w:t>
            </w:r>
          </w:p>
        </w:tc>
        <w:tc>
          <w:tcPr>
            <w:tcW w:w="183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Մ/ճ Նախագծանախահաշվային փաստաթղթերի կազմում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կոմպլեկտ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90" w:type="dxa"/>
            <w:noWrap/>
          </w:tcPr>
          <w:p>
            <w:pPr/>
            <w:r>
              <w:rPr/>
              <w:t xml:space="preserve">360,00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092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09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 20 048,00 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20" w:type="dxa"/>
            <w:gridSpan w:val="6"/>
            <w:noWrap/>
          </w:tcPr>
          <w:p>
            <w:pPr/>
            <w:r>
              <w:rPr/>
              <w:t xml:space="preserve">* Ծանոթություն՝ պահանջվող ներդրումները հաշվարկված են խոշորացված ցուցիչներով, որոնք կողմնորոշիչ բնույթ են կրում և կարող են փոփոխվել նախագծային աշխատանքների ընթացքում: Արժեքում ներառված չեն հողհատկացման, տարածքի ձեռքբերման, սեփականատերերին փոխհատուցման ծախսերը:</w:t>
            </w:r>
          </w:p>
        </w:tc>
      </w:tr>
    </w:tbl>
    <w:p>
      <w:pPr/>
      <w:r>
        <w:rPr>
          <w:u w:val="single"/>
        </w:rPr>
        <w:t xml:space="preserve"> </w:t>
      </w:r>
    </w:p>
    <w:tbl>
      <w:tblGrid>
        <w:gridCol w:w="1245" w:type="dxa"/>
        <w:gridCol w:w="10965" w:type="dxa"/>
        <w:gridCol w:w="10965" w:type="dxa"/>
        <w:gridCol w:w="10965" w:type="dxa"/>
        <w:gridCol w:w="10965" w:type="dxa"/>
        <w:gridCol w:w="2010" w:type="dxa"/>
      </w:tblGrid>
      <w:tblPr>
        <w:tblW w:w="10965" w:type="dxa"/>
        <w:tblLayout w:type="autofit"/>
      </w:tblPr>
      <w:tr>
        <w:trPr/>
        <w:tc>
          <w:tcPr>
            <w:tcW w:w="1096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ԽՈՇՈՐԱՑՎԱԾ  ՆԱԽԱՀԱՇԻՎ</w:t>
            </w:r>
            <w:br/>
            <w:r>
              <w:rPr>
                <w:b w:val="1"/>
                <w:bCs w:val="1"/>
              </w:rPr>
              <w:t xml:space="preserve"> աշխատանքների արժեքի հաշվարկի </w:t>
            </w:r>
          </w:p>
        </w:tc>
      </w:tr>
      <w:tr>
        <w:trPr/>
        <w:tc>
          <w:tcPr>
            <w:tcW w:w="1096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Երևան քաղաքի Հյուսիս-Արևելյան հատվածի գազամատակարարում </w:t>
            </w:r>
            <w:br/>
            <w:r>
              <w:rPr>
                <w:b w:val="1"/>
                <w:bCs w:val="1"/>
              </w:rPr>
              <w:t xml:space="preserve"> ԳԲԿ-1-ը սնող կողմնատար գազատարից (նոր ԳՃԿՀ-ի կառուցմամբ)</w:t>
            </w:r>
          </w:p>
        </w:tc>
      </w:tr>
      <w:tr>
        <w:trPr/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Աշխատանքների, նյութերի և սարքավորումների</w:t>
            </w:r>
            <w:br/>
            <w:r>
              <w:rPr/>
              <w:t xml:space="preserve">  անվանումը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Արժեքը*</w:t>
            </w:r>
            <w:br/>
            <w:r>
              <w:rPr/>
              <w:t xml:space="preserve"> մլն. դրամ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Ծանոթություն</w:t>
            </w:r>
          </w:p>
        </w:tc>
      </w:tr>
      <w:tr>
        <w:trPr/>
        <w:tc>
          <w:tcPr>
            <w:tcW w:w="12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>
                <w:b w:val="1"/>
                <w:bCs w:val="1"/>
              </w:rPr>
              <w:t xml:space="preserve">Կողմնատար գազատարի և ԳՃԿՀ-ի կառուցում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 510,00 </w:t>
            </w:r>
          </w:p>
        </w:tc>
        <w:tc>
          <w:tcPr>
            <w:tcW w:w="20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2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>
                <w:b w:val="1"/>
                <w:bCs w:val="1"/>
              </w:rPr>
              <w:t xml:space="preserve">ԳՃԿՀ-ներից հիմնական Մ/Ճ գազատարների կառուցում 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32,5</w:t>
            </w:r>
          </w:p>
        </w:tc>
        <w:tc>
          <w:tcPr>
            <w:tcW w:w="1096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 8 377,00 </w:t>
            </w:r>
          </w:p>
        </w:tc>
        <w:tc>
          <w:tcPr>
            <w:tcW w:w="201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24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Մ/ճ Նախագծանախահաշվային փաստաթղթերի կազմում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կոմպլեկտ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120,00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096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6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 8 887,00 </w:t>
            </w:r>
          </w:p>
        </w:tc>
        <w:tc>
          <w:tcPr>
            <w:tcW w:w="20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65" w:type="dxa"/>
            <w:gridSpan w:val="6"/>
            <w:noWrap/>
          </w:tcPr>
          <w:p>
            <w:pPr/>
            <w:r>
              <w:rPr/>
              <w:t xml:space="preserve">* Ծանոթություն՝ պահանջվող ներդրումները հաշվարկված են խոշորացված ցուցիչներով, որոնք կողմնորոշիչ բնույթ են կրում և կարող են փոփոխվել նախագծային աշխատանքների ընթացքում: Արժեքում ներառված չեն հողհատկացման, տարածքի ձեռքբերուման, սեփականատերերին փոխհատուցման ծախսերը:</w:t>
            </w:r>
          </w:p>
        </w:tc>
      </w:tr>
    </w:tbl>
    <w:p>
      <w:pPr/>
      <w:r>
        <w:rPr>
          <w:u w:val="single"/>
        </w:rPr>
        <w:t xml:space="preserve"> </w:t>
      </w:r>
    </w:p>
    <w:tbl>
      <w:tblGrid>
        <w:gridCol w:w="1140" w:type="dxa"/>
        <w:gridCol w:w="10530" w:type="dxa"/>
        <w:gridCol w:w="10530" w:type="dxa"/>
        <w:gridCol w:w="10530" w:type="dxa"/>
        <w:gridCol w:w="10530" w:type="dxa"/>
        <w:gridCol w:w="2205" w:type="dxa"/>
      </w:tblGrid>
      <w:tblPr>
        <w:tblW w:w="10530" w:type="dxa"/>
        <w:tblLayout w:type="autofit"/>
      </w:tblPr>
      <w:tr>
        <w:trPr/>
        <w:tc>
          <w:tcPr>
            <w:tcW w:w="1053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ԽՈՇՈՐԱՑՎԱԾ  ՆԱԽԱՀԱՇԻՎ</w:t>
            </w:r>
            <w:br/>
            <w:r>
              <w:rPr>
                <w:b w:val="1"/>
                <w:bCs w:val="1"/>
              </w:rPr>
              <w:t xml:space="preserve"> աշխատանքների արժեքի հաշվարկի </w:t>
            </w:r>
          </w:p>
        </w:tc>
      </w:tr>
      <w:tr>
        <w:trPr/>
        <w:tc>
          <w:tcPr>
            <w:tcW w:w="1053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Երևան քաղաքի Հարավ-Արևմտյան հատվածի գազամատակարարում </w:t>
            </w:r>
            <w:br/>
            <w:r>
              <w:rPr>
                <w:b w:val="1"/>
                <w:bCs w:val="1"/>
              </w:rPr>
              <w:t xml:space="preserve"> ԳԲԿ-4-ը սնող կողմնատար գազատարից (նոր ԳՃԿՀ-ի կառուցմամբ)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Աշխատանքների, նյութերի և սարքավորումների</w:t>
            </w:r>
            <w:br/>
            <w:r>
              <w:rPr/>
              <w:t xml:space="preserve">  անվանումը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Արժեքը*</w:t>
            </w:r>
            <w:br/>
            <w:r>
              <w:rPr/>
              <w:t xml:space="preserve"> մլն. դրամ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Ծանոթություն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>
                <w:b w:val="1"/>
                <w:bCs w:val="1"/>
              </w:rPr>
              <w:t xml:space="preserve">Կողմնատար գազատարի և ԳՃԿՀ-ի կառուցում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 450,00 </w:t>
            </w:r>
          </w:p>
        </w:tc>
        <w:tc>
          <w:tcPr>
            <w:tcW w:w="22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>
                <w:b w:val="1"/>
                <w:bCs w:val="1"/>
              </w:rPr>
              <w:t xml:space="preserve">ԳՃԿՀ-ներից հիմնական Մ/Ճ գազատարների կառուցում 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15,5</w:t>
            </w:r>
          </w:p>
        </w:tc>
        <w:tc>
          <w:tcPr>
            <w:tcW w:w="1053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 4 905,00 </w:t>
            </w:r>
          </w:p>
        </w:tc>
        <w:tc>
          <w:tcPr>
            <w:tcW w:w="22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Նախագծանախահաշվային փաստաթղթերի կազմում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կոմպլեկտ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80,00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053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53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 5 355,00 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530" w:type="dxa"/>
            <w:gridSpan w:val="6"/>
            <w:noWrap/>
          </w:tcPr>
          <w:p>
            <w:pPr/>
            <w:r>
              <w:rPr/>
              <w:t xml:space="preserve">* Ծանոթություն՝ պահանջվող ներդրումները հաշվարկված են խոշորացված ցուցիչներով, որոնք կողմնորոշիչ բնույթ են կրում և կարող են փոփոխվել նախագծային աշխատանքների ընթացքում: Արժեքում ներառված չեն հողհատկացման, տարածքի ձեռքբերուման, սեփականատերերին փոխհատուցման ծախսերը:</w:t>
            </w:r>
          </w:p>
        </w:tc>
      </w:tr>
    </w:tbl>
    <w:p>
      <w:pPr/>
      <w:r>
        <w:rPr>
          <w:u w:val="single"/>
        </w:rPr>
        <w:t xml:space="preserve"> </w:t>
      </w:r>
    </w:p>
    <w:tbl>
      <w:tblGrid>
        <w:gridCol w:w="1140" w:type="dxa"/>
        <w:gridCol w:w="10440" w:type="dxa"/>
        <w:gridCol w:w="10440" w:type="dxa"/>
        <w:gridCol w:w="10440" w:type="dxa"/>
        <w:gridCol w:w="10440" w:type="dxa"/>
        <w:gridCol w:w="2115" w:type="dxa"/>
      </w:tblGrid>
      <w:tblPr>
        <w:tblW w:w="10440" w:type="dxa"/>
        <w:tblLayout w:type="autofit"/>
      </w:tblPr>
      <w:tr>
        <w:trPr/>
        <w:tc>
          <w:tcPr>
            <w:tcW w:w="1044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ԽՈՇՈՐԱՑՎԱԾ  ՆԱԽԱՀԱՇԻՎ</w:t>
            </w:r>
            <w:br/>
            <w:r>
              <w:rPr>
                <w:b w:val="1"/>
                <w:bCs w:val="1"/>
              </w:rPr>
              <w:t xml:space="preserve"> աշխատանքների արժեքի հաշվարկի </w:t>
            </w:r>
          </w:p>
        </w:tc>
      </w:tr>
      <w:tr>
        <w:trPr/>
        <w:tc>
          <w:tcPr>
            <w:tcW w:w="1044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Երևան քաղաքի հարավային հատվածի գազամատակարարում </w:t>
            </w:r>
            <w:br/>
            <w:r>
              <w:rPr>
                <w:b w:val="1"/>
                <w:bCs w:val="1"/>
              </w:rPr>
              <w:t xml:space="preserve"> ԳԲԿ-2-ը սնող կողմնատար գազատարից (նոր ԳՃԿՀ-ի կառուցմամբ)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Աշխատանքների, նյութերի և սարքավորումների</w:t>
            </w:r>
            <w:br/>
            <w:r>
              <w:rPr/>
              <w:t xml:space="preserve">  անվանումը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Արժեքը*</w:t>
            </w:r>
            <w:br/>
            <w:r>
              <w:rPr/>
              <w:t xml:space="preserve"> մլն. դրամ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Ծանոթություն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>
                <w:b w:val="1"/>
                <w:bCs w:val="1"/>
              </w:rPr>
              <w:t xml:space="preserve">Կողմնատար գազատարի և ԳՃԿՀ-ի կառուցում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 267,00 </w:t>
            </w:r>
          </w:p>
        </w:tc>
        <w:tc>
          <w:tcPr>
            <w:tcW w:w="21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>
                <w:b w:val="1"/>
                <w:bCs w:val="1"/>
              </w:rPr>
              <w:t xml:space="preserve">ԳՃԿՀ-ներից հիմնական Մ/Ճ գազատարների կառուցում 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29,5</w:t>
            </w:r>
          </w:p>
        </w:tc>
        <w:tc>
          <w:tcPr>
            <w:tcW w:w="1044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 3 534,00 </w:t>
            </w:r>
          </w:p>
        </w:tc>
        <w:tc>
          <w:tcPr>
            <w:tcW w:w="21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Նախագծանախահաշվային փաստաթղթերի կազմում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կոմպլեկտ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80,00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0440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4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 3 801,00 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40" w:type="dxa"/>
            <w:gridSpan w:val="6"/>
            <w:noWrap/>
          </w:tcPr>
          <w:p>
            <w:pPr/>
            <w:r>
              <w:rPr/>
              <w:t xml:space="preserve">* Ծանոթություն՝ պահանջվող ներդրումները հաշվարկված են խոշորացված ցուցիչներով, որոնք կողմնորոշիչ բնույթ են կրում և կարող են փոփոխվել նախագծային աշխատանքների ընթացքում: Արժեքում ներառված չեն հողհատկացման, տարածքի ձեռքբերման, սեփականատերերին փոխհատուցման ծախսերը:</w:t>
            </w:r>
          </w:p>
        </w:tc>
      </w:tr>
    </w:tbl>
    <w:p>
      <w:pPr/>
      <w:r>
        <w:rPr>
          <w:u w:val="single"/>
        </w:rPr>
        <w:t xml:space="preserve"> </w:t>
      </w:r>
    </w:p>
    <w:tbl>
      <w:tblGrid>
        <w:gridCol w:w="1140" w:type="dxa"/>
        <w:gridCol w:w="11145" w:type="dxa"/>
        <w:gridCol w:w="11145" w:type="dxa"/>
        <w:gridCol w:w="11145" w:type="dxa"/>
        <w:gridCol w:w="11145" w:type="dxa"/>
        <w:gridCol w:w="2295" w:type="dxa"/>
      </w:tblGrid>
      <w:tblPr>
        <w:tblW w:w="11145" w:type="dxa"/>
        <w:tblLayout w:type="autofit"/>
      </w:tblPr>
      <w:tr>
        <w:trPr/>
        <w:tc>
          <w:tcPr>
            <w:tcW w:w="1114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ԽՈՇՈՐԱՑՎԱԾ  ՆԱԽԱՀԱՇԻՎ</w:t>
            </w:r>
            <w:br/>
            <w:r>
              <w:rPr>
                <w:b w:val="1"/>
                <w:bCs w:val="1"/>
              </w:rPr>
              <w:t xml:space="preserve"> աշխատանքների արժեքի հաշվարկի </w:t>
            </w:r>
          </w:p>
        </w:tc>
      </w:tr>
      <w:tr>
        <w:trPr/>
        <w:tc>
          <w:tcPr>
            <w:tcW w:w="1114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Երևան քաղաքի արևելյան հատվածի գազամատակարարում</w:t>
            </w:r>
          </w:p>
          <w:p>
            <w:pPr/>
            <w:r>
              <w:rPr>
                <w:b w:val="1"/>
                <w:bCs w:val="1"/>
              </w:rPr>
              <w:t xml:space="preserve">ԳԲԿ-Ջրվեժը սնող կողմնատար գազատարից (նոր ԳՃԿՀ-ի կառուցմամբ)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Աշխատանքների, նյութերի և սարքավորումների</w:t>
            </w:r>
            <w:br/>
            <w:r>
              <w:rPr/>
              <w:t xml:space="preserve">  անվանումը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Չափման միավորը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Քանակը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Արժեքը*</w:t>
            </w:r>
            <w:br/>
            <w:r>
              <w:rPr/>
              <w:t xml:space="preserve"> մլն. դրամ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Ծանոթություն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>
                <w:b w:val="1"/>
                <w:bCs w:val="1"/>
              </w:rPr>
              <w:t xml:space="preserve">Կողմնատար գազատարի և ԳՃԿՀ-ի կառուցում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 2</w:t>
            </w:r>
            <w:r>
              <w:rPr>
                <w:b w:val="1"/>
                <w:bCs w:val="1"/>
              </w:rPr>
              <w:t xml:space="preserve">50</w:t>
            </w:r>
            <w:r>
              <w:rPr>
                <w:b w:val="1"/>
                <w:bCs w:val="1"/>
              </w:rPr>
              <w:t xml:space="preserve">,00 </w:t>
            </w:r>
          </w:p>
        </w:tc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>
                <w:b w:val="1"/>
                <w:bCs w:val="1"/>
              </w:rPr>
              <w:t xml:space="preserve">ԳՃԿՀ-ներից հիմնական Մ/Ճ գազատարների կառուցում 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114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 </w:t>
            </w:r>
            <w:r>
              <w:rPr>
                <w:b w:val="1"/>
                <w:bCs w:val="1"/>
              </w:rPr>
              <w:t xml:space="preserve">1755</w:t>
            </w:r>
            <w:r>
              <w:rPr>
                <w:b w:val="1"/>
                <w:bCs w:val="1"/>
              </w:rPr>
              <w:t xml:space="preserve">,00 </w:t>
            </w:r>
          </w:p>
        </w:tc>
        <w:tc>
          <w:tcPr>
            <w:tcW w:w="22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Նախագծանախահաշվային փաստաթղթերի կազմում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կոմպլեկտ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80,00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114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14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 </w:t>
            </w:r>
            <w:r>
              <w:rPr>
                <w:b w:val="1"/>
                <w:bCs w:val="1"/>
              </w:rPr>
              <w:t xml:space="preserve">2005</w:t>
            </w:r>
            <w:r>
              <w:rPr>
                <w:b w:val="1"/>
                <w:bCs w:val="1"/>
              </w:rPr>
              <w:t xml:space="preserve">,00 </w:t>
            </w:r>
          </w:p>
        </w:tc>
        <w:tc>
          <w:tcPr>
            <w:tcW w:w="22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145" w:type="dxa"/>
            <w:gridSpan w:val="6"/>
            <w:noWrap/>
          </w:tcPr>
          <w:p>
            <w:pPr/>
            <w:r>
              <w:rPr/>
              <w:t xml:space="preserve">* Ծանոթություն՝ պահանջվող ներդրումները հաշվարկված են խոշորացված ցուցիչներով, որոնք կողմնորոշիչ բնույթ են կրում և կարող են փոփոխվել նախագծային աշխատանքների ընթացքում: Արժեքում ներառված չեն հողհատկացման, տարածքի ձեռքբերման, սեփականատերերին փոխհատուցման ծախսերը: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Հավելված</w:t>
      </w:r>
      <w:r>
        <w:rPr>
          <w:b w:val="1"/>
          <w:bCs w:val="1"/>
        </w:rPr>
        <w:t xml:space="preserve"> N 2</w:t>
      </w:r>
    </w:p>
    <w:p>
      <w:pPr/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2022 </w:t>
      </w:r>
      <w:r>
        <w:rPr>
          <w:b w:val="1"/>
          <w:bCs w:val="1"/>
        </w:rPr>
        <w:t xml:space="preserve">թվականի</w:t>
      </w:r>
    </w:p>
    <w:p>
      <w:pPr/>
      <w:r>
        <w:rPr>
          <w:b w:val="1"/>
          <w:bCs w:val="1"/>
        </w:rPr>
        <w:t xml:space="preserve">-------</w:t>
      </w:r>
      <w:r>
        <w:rPr>
          <w:b w:val="1"/>
          <w:bCs w:val="1"/>
        </w:rPr>
        <w:t xml:space="preserve"> N——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Աշխատանքների</w:t>
      </w:r>
      <w:r>
        <w:rPr>
          <w:b w:val="1"/>
          <w:bCs w:val="1"/>
        </w:rPr>
        <w:t xml:space="preserve"> իրականացման</w:t>
      </w:r>
      <w:r>
        <w:rPr>
          <w:b w:val="1"/>
          <w:bCs w:val="1"/>
        </w:rPr>
        <w:t xml:space="preserve"> ժամանակացույց</w:t>
      </w:r>
    </w:p>
    <w:p>
      <w:pPr/>
      <w:r>
        <w:rPr/>
        <w:t xml:space="preserve"> </w:t>
      </w:r>
    </w:p>
    <w:tbl>
      <w:tblGrid>
        <w:gridCol w:w="1200" w:type="dxa"/>
        <w:gridCol w:w="5160" w:type="dxa"/>
        <w:gridCol w:w="2100" w:type="dxa"/>
        <w:gridCol w:w="2340" w:type="dxa"/>
      </w:tblGrid>
      <w:tblPr>
        <w:tblW w:w="10800" w:type="dxa"/>
        <w:tblLayout w:type="autofit"/>
      </w:tblPr>
      <w:tr>
        <w:trPr/>
        <w:tc>
          <w:tcPr>
            <w:tcW w:w="1200" w:type="dxa"/>
            <w:noWrap/>
          </w:tcPr>
          <w:p>
            <w:pPr/>
            <w:r>
              <w:rPr>
                <w:b w:val="1"/>
                <w:bCs w:val="1"/>
              </w:rPr>
              <w:t xml:space="preserve">Փուլեր</w:t>
            </w:r>
          </w:p>
        </w:tc>
        <w:tc>
          <w:tcPr>
            <w:tcW w:w="5160" w:type="dxa"/>
            <w:noWrap/>
          </w:tcPr>
          <w:p>
            <w:pPr/>
            <w:r>
              <w:rPr>
                <w:b w:val="1"/>
                <w:bCs w:val="1"/>
              </w:rPr>
              <w:t xml:space="preserve">Աշխատանքի անվանումը / գազաբաշխման հանգույցների ուղությունները </w:t>
            </w:r>
          </w:p>
        </w:tc>
        <w:tc>
          <w:tcPr>
            <w:tcW w:w="2100" w:type="dxa"/>
            <w:noWrap/>
          </w:tcPr>
          <w:p>
            <w:pPr/>
            <w:r>
              <w:rPr>
                <w:b w:val="1"/>
                <w:bCs w:val="1"/>
              </w:rPr>
              <w:t xml:space="preserve">Գազաբաշխման հանգույցների կառուցման սկզբնաժամկետ</w:t>
            </w:r>
          </w:p>
        </w:tc>
        <w:tc>
          <w:tcPr>
            <w:tcW w:w="2340" w:type="dxa"/>
            <w:noWrap/>
          </w:tcPr>
          <w:p>
            <w:pPr/>
            <w:r>
              <w:rPr>
                <w:b w:val="1"/>
                <w:bCs w:val="1"/>
              </w:rPr>
              <w:t xml:space="preserve">Գազաբաշխման հանգույցների կառուցման վերջնաժամկետ</w:t>
            </w:r>
          </w:p>
          <w:p>
            <w:pPr/>
            <w:r>
              <w:rPr>
                <w:b w:val="1"/>
                <w:bCs w:val="1"/>
              </w:rPr>
              <w:t xml:space="preserve">(շահագործման հանձման սկզբնաժամկետ)</w:t>
            </w:r>
          </w:p>
        </w:tc>
      </w:tr>
      <w:tr>
        <w:trPr/>
        <w:tc>
          <w:tcPr>
            <w:tcW w:w="10800" w:type="dxa"/>
            <w:gridSpan w:val="4"/>
            <w:noWrap/>
          </w:tcPr>
          <w:p>
            <w:pPr/>
            <w:r>
              <w:rPr/>
              <w:t xml:space="preserve">Նախագծային և գնման աշխատանքներ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>
                <w:b w:val="1"/>
                <w:bCs w:val="1"/>
              </w:rPr>
              <w:t xml:space="preserve">-</w:t>
            </w:r>
          </w:p>
        </w:tc>
        <w:tc>
          <w:tcPr>
            <w:tcW w:w="5160" w:type="dxa"/>
            <w:noWrap/>
          </w:tcPr>
          <w:p>
            <w:pPr/>
            <w:r>
              <w:rPr/>
              <w:t xml:space="preserve">Նախագծանախահաշվային փաստաթղթերի կազմում, համաձայնեցումներ պատկան մարմինների հետ, ապրանքանյութական արժեքների գնումների կազմակերպում և ձեռքբերում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01.01.2023թ.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01.01.2025թ.</w:t>
            </w:r>
          </w:p>
        </w:tc>
      </w:tr>
      <w:tr>
        <w:trPr/>
        <w:tc>
          <w:tcPr>
            <w:tcW w:w="10800" w:type="dxa"/>
            <w:gridSpan w:val="4"/>
            <w:noWrap/>
          </w:tcPr>
          <w:p>
            <w:pPr/>
            <w:r>
              <w:rPr/>
              <w:t xml:space="preserve">Շինհավաքակցման աշխատանքներ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I փուլ</w:t>
            </w:r>
          </w:p>
        </w:tc>
        <w:tc>
          <w:tcPr>
            <w:tcW w:w="5160" w:type="dxa"/>
            <w:noWrap/>
          </w:tcPr>
          <w:p>
            <w:pPr/>
            <w:r>
              <w:rPr/>
              <w:t xml:space="preserve">Երևան քաղաքի Հարավ-Արևմտյան հատված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01.01.2025 թ․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01.07.2026 թ․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II փուլ</w:t>
            </w:r>
          </w:p>
        </w:tc>
        <w:tc>
          <w:tcPr>
            <w:tcW w:w="5160" w:type="dxa"/>
            <w:noWrap/>
          </w:tcPr>
          <w:p>
            <w:pPr/>
            <w:r>
              <w:rPr/>
              <w:t xml:space="preserve">Երևան քաղաքի Արևելյան հատված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01.07.2026թ․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01.01.2028 թ․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III փուլ</w:t>
            </w:r>
          </w:p>
        </w:tc>
        <w:tc>
          <w:tcPr>
            <w:tcW w:w="5160" w:type="dxa"/>
            <w:noWrap/>
          </w:tcPr>
          <w:p>
            <w:pPr/>
            <w:r>
              <w:rPr/>
              <w:t xml:space="preserve">Երևան քաղաքի Հյուսիս-Արևելյան հատված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01.01.2028 թ․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01.01.2031 թ․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IV փուլ</w:t>
            </w:r>
          </w:p>
        </w:tc>
        <w:tc>
          <w:tcPr>
            <w:tcW w:w="5160" w:type="dxa"/>
            <w:noWrap/>
          </w:tcPr>
          <w:p>
            <w:pPr/>
            <w:r>
              <w:rPr/>
              <w:t xml:space="preserve">Երևան քաղաքի Հարավային հատված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01.01.2031 թ․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340" w:type="dxa"/>
            <w:noWrap/>
          </w:tcPr>
          <w:p>
            <w:pPr/>
            <w:r>
              <w:rPr/>
              <w:t xml:space="preserve">01.07.2032 թ․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ABF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6E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D0FC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0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EFB1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2026-03-31T07:19:12+04:00</dcterms:created>
  <dcterms:modified xsi:type="dcterms:W3CDTF">2026-03-31T07:19:12+04:00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