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«ՆՈՐՄԱՏԻՎ ԻՐԱՎԱԿԱՆ ԱԿՏԵՐԻ ՄԱՍԻՆ» ՕՐԵՆՔՈՒՄ ԼՐԱՑՈՒՄՆԵՐ ԵՎ ՓՈՓՈԽՈՒԹՅՈՒՆ ԿԱՏԱՐԵԼՈՒ ՄԱՍԻՆ</w:t>
      </w:r>
      <w:bookmarkEnd w:id="0"/>
    </w:p>
    <w:p>
      <w:pPr>
        <w:pStyle w:val="Heading2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«ՆՈՐՄԱՏԻՎ ԻՐԱՎԱԿԱՆ ԱԿՏԵՐԻ ՄԱՍԻՆ» ՕՐԵՆՔՈՒՄ ԼՐԱՑՈՒՄՆԵՐ ԵՎ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2018 թվականի մարտի 21-ի ՀՕ-180-Ն «Նորմատիվ իրավական ակտերի մասին» օրենքի (այսուհետ՝ Օրենք) 1-ին հոդվածի 1-ին մասում «փորձաքննության» բառից հետո լրացնել «, մոտարկման» բառը: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2-րդ հոդվածի 1-ին մասում լրացնել նոր՝ 11-րդ կետ.</w:t>
      </w:r>
    </w:p>
    <w:p>
      <w:pPr/>
      <w:r>
        <w:rPr/>
        <w:t xml:space="preserve">11) մոտարկում՝ միջազգային պայմանագրով ստանձնած պարտավորությունների շրջանակում ներպետական օրենսդրության համապատասխանեցումը և ներդաշնակեցումը առանձին ոլորտներում տվյալ միջազգային պայմանագրով նախատեսված իրավական կարգավորումներին: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3-րդ գլխի վերնագրում «ԵՎ ՓՈՐՁԱՔՆՆՈՒԹՅՈՒՆԸ» բառերը փոխարինել «, ՓՈՐՁԱՔՆՆՈՒԹՅՈՒՆԸ ԵՎ ԵՎՐՈՊԱԿԱՆ ՄԻՈՒԹՅԱՆ ՕՐԵՆՍԴՐՈՒԹՅԱՆԸ ՄՈՏԱՐԿՄԱՆ ՀԱՄԱՊԱՏԱՍԽԱՆՈՒԹՅԱՆ ՍՏՈՒԳՈՒՄԸ» բառերով: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3-րդ գլուխը լրացնել նոր՝ 8.1-ին հոդվածով.</w:t>
      </w:r>
    </w:p>
    <w:p>
      <w:pPr/>
      <w:r>
        <w:rPr/>
        <w:t xml:space="preserve"> </w:t>
      </w:r>
      <w:r>
        <w:rPr>
          <w:b w:val="1"/>
          <w:bCs w:val="1"/>
        </w:rPr>
        <w:t xml:space="preserve">«Հոդված 8.1. Նորմատիվ իրավական ակտերի նախագծերի` Եվրոպական միության օրենսդրությանը մոտարկման համապատասխանության ստուգումը</w:t>
      </w:r>
    </w:p>
    <w:p>
      <w:pPr>
        <w:numPr>
          <w:ilvl w:val="0"/>
          <w:numId w:val="2"/>
        </w:numPr>
      </w:pPr>
      <w:r>
        <w:rPr/>
        <w:t xml:space="preserve">Հայաստանի Հանրապետության` մի կողմից և Եվրոպական միության և ատոմային էներգիայի եվրոպական համայնքի ու դրանց անդամ պետությունների` մյուս կողմից, միջև Համապարփակ և ընդլայնված գործընկերության համաձայնագրի (այսուհետ սույն հոդվածում` Համաձայնագիր) շրջանակներում նախատեսված Եվրոպական միության օրենսդրությանը մոտարկման համապատասխանության ստուգումը (այսուհետ սույն հոդվածում՝ Ստուգում) իրականացվում է Եվրոպական միության օրենսդրությանը մոտարկման նպատակով:</w:t>
      </w:r>
    </w:p>
    <w:p>
      <w:pPr>
        <w:numPr>
          <w:ilvl w:val="0"/>
          <w:numId w:val="2"/>
        </w:numPr>
      </w:pPr>
      <w:r>
        <w:rPr/>
        <w:t xml:space="preserve">Ստուգումն իրականացնում է նախարարությունը` սույն հոդվածի 4-րդ մասով սահմանված բացատրական նշումի շրջանակներում նշված օրենսդրության առնչությամբ, որից հետո տրվում է եզրակացություն։ Նորմատիվ իրավական ակտի նախագիծը Ստուգման նպատակով նախարարություն է ներկայացվում նախագիծը փորձաքննության ներկայացնելու հետ միաժամանակ։</w:t>
      </w:r>
    </w:p>
    <w:p>
      <w:pPr>
        <w:numPr>
          <w:ilvl w:val="0"/>
          <w:numId w:val="2"/>
        </w:numPr>
      </w:pPr>
      <w:r>
        <w:rPr/>
        <w:t xml:space="preserve">Նորմատիվ իրավական ակտի նախագիծը հիմնավորման հետ մեկտեղ Ստուգման են ուղարկում համապատասխան ակտն ընդունելու իրավասություն ունեցող մարմինը կամ Կառավարության անդամը, ինչպես նաև Կառավարությանը և Վարչապետին ենթակա մարմինները:</w:t>
      </w:r>
    </w:p>
    <w:p>
      <w:pPr>
        <w:numPr>
          <w:ilvl w:val="0"/>
          <w:numId w:val="2"/>
        </w:numPr>
      </w:pPr>
      <w:r>
        <w:rPr/>
        <w:t xml:space="preserve">Նորմատիվ իրավական ակտի նախագծին կցվող հիմնավորումը ներառում է նաև բացատրական նշում, որը պետք է պարունակի.</w:t>
      </w:r>
    </w:p>
    <w:p>
      <w:pPr/>
      <w:r>
        <w:rPr/>
        <w:t xml:space="preserve">1) նշում Եվրոպական միության մոտարկման ենթակա օրենսդրության մասին, որը ներառում է մոտարկման ենթակա իրավական ակտի վերնագիրը, համարը և ընդունման ամսաթիվը.</w:t>
      </w:r>
    </w:p>
    <w:p>
      <w:pPr/>
      <w:r>
        <w:rPr/>
        <w:t xml:space="preserve">2) ներկայացված նախագծի` նշված օրենսդրությանը մոտարկման վերաբերյալ պարզաբանում կամ մոտարկման անհրաժեշտության բացակայության վերաբերյալ բացատրություն:</w:t>
      </w:r>
    </w:p>
    <w:p>
      <w:pPr>
        <w:numPr>
          <w:ilvl w:val="0"/>
          <w:numId w:val="3"/>
        </w:numPr>
      </w:pPr>
      <w:r>
        <w:rPr/>
        <w:t xml:space="preserve">Նորմատիվ իրավական ակտի նախագծի` Եվրոպական միության օրենսդրությանը մոտարկման համապատասխանության վերաբերյալ եզրակացությունը տրվում է նորմատիվ իրավական ակտի նախագիծը նախարարություն մուտքագրվելու օրվան հաջորդող 15 աշխատանքային օրվա ընթացքում: Առավել բարդ կամ ծավալուն նորմատիվ իրավական ակտի նախագծերի ներկայացման դեպքում ժամկետը կարող է երկարաձգվել մինչև 10 աշխատանքային օրով, որի մասին տեղեկացվում են նախագիծը ներկայացնողները:</w:t>
      </w:r>
    </w:p>
    <w:p>
      <w:pPr>
        <w:numPr>
          <w:ilvl w:val="0"/>
          <w:numId w:val="3"/>
        </w:numPr>
      </w:pPr>
      <w:r>
        <w:rPr/>
        <w:t xml:space="preserve">Նախարարության կողմից Եվրոպական միության օրենսդրությանը մոտարկման համապատասխանության վերաբերյալ բացասական եզրակացություն տրամադրվելու դեպքում նախագիծը չի կարող ներկայացվել  Կառավարության քննարկմանը։</w:t>
      </w:r>
    </w:p>
    <w:p>
      <w:pPr>
        <w:numPr>
          <w:ilvl w:val="0"/>
          <w:numId w:val="3"/>
        </w:numPr>
      </w:pPr>
      <w:r>
        <w:rPr/>
        <w:t xml:space="preserve">Եթե սույն հոդվածի 5-րդ մասով նախատեսված ժամկետում նախարարությունը Եվրոպական միության օրենսդրությանը մոտարկման համապատասխանության վերաբերյալ եզրակացություն չի տալիս կամ չի երկարաձգում դրա տրամադրման ժամկետը, օրենսդրական ակտի նախագիծը կարող է ներկայացվել վարչապետի աշխատակազմ, իսկ ենթաօրենսդրական նորմատիվ իրավական ակտի նախագիծը ակտն ընդունող մարմնի կողմից կարող է ընդունվել և ուղարկվել հրապարակման` առանց եզրակացության:</w:t>
      </w:r>
    </w:p>
    <w:p>
      <w:pPr>
        <w:numPr>
          <w:ilvl w:val="0"/>
          <w:numId w:val="4"/>
        </w:numPr>
      </w:pPr>
      <w:r>
        <w:rPr/>
        <w:t xml:space="preserve">Ենթաօրենսդրական նորմատիվ իրավական ակտի նախագծի վերաբերյալ Եվրոպական միության օրենսդրությանը մոտարկման համապատասխանության վերաբերյալ բացասական եզրակացություն տրամադրվելու դեպքում նախագիծը ենթակա չէ հրապարակման։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Եզրափակիչ մաս և անցումային դրույթներ.</w:t>
      </w:r>
    </w:p>
    <w:p>
      <w:pPr>
        <w:numPr>
          <w:ilvl w:val="0"/>
          <w:numId w:val="5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>
        <w:numPr>
          <w:ilvl w:val="0"/>
          <w:numId w:val="5"/>
        </w:numPr>
      </w:pPr>
      <w:r>
        <w:rPr/>
        <w:t xml:space="preserve">Կառավարության աշխատակարգում և Արդարադատության նախարարության կանոնադրության մեջ սույն օրենքի իրականացումն ապահովող փոփոխությունները պետք է իրականացվեն սույն օրենքն ուժի մեջ մտնելուց հետո մեկամսյա ժամկետում։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EB1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CA800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1BAB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D6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2026-04-02T19:21:00+04:00</dcterms:created>
  <dcterms:modified xsi:type="dcterms:W3CDTF">2026-04-02T19:21:00+04:00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