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մայիսի 25-ի թիվ 570-Ն որոշման մեջ փոփոխություններ և լրացումներ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N  - Ն</w:t>
      </w:r>
    </w:p>
    <w:p>
      <w:pPr>
        <w:jc w:val="center"/>
      </w:pPr>
      <w:r>
        <w:rPr/>
        <w:t xml:space="preserve">ՀԱՅԱՍՏԱՆԻ ՀԱՆՐԱՊԵՏՈՒԹՅԱՆ ԿԱՌԱՎԱՐՈՒԹՅԱՆ 2017 ԹՎԱԿԱՆԻ ՄԱՅԻՍԻ 25-Ի N 570-Ն ՈՐՈՇՄԱՆ ՄԵՋ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 և հիմք ընդունելով Հայաստանի Հանրապետության հարկային օրենսգրքի 336-րդ հոդվածի 2-րդ մասի 1-ին կետը`  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մայիսի 25-ի «Հարկային մարմնի գործունեության շրջանակներում ռիսկի վրա հիմնված համալիր հարկային ստուգումների մեթոդաբանությունը և ռիսկայնությունը որոշող չափանիշների ընդհանուր նկարագիրը հաստատելու մասին» N 570-Ն որոշման (այսուհետ` Որոշում) վերնագրում «համալիր հարկային» բառերից հետո լրացնել «և տրանսֆերային գնագոյացման» բառերը:</w:t>
      </w:r>
    </w:p>
    <w:p>
      <w:pPr>
        <w:numPr>
          <w:ilvl w:val="0"/>
          <w:numId w:val="2"/>
        </w:numPr>
      </w:pPr>
      <w:r>
        <w:rPr/>
        <w:t xml:space="preserve">Որոշման 1-ին կետը շարադրել հետևյալ խմբագրությամբ.</w:t>
      </w:r>
    </w:p>
    <w:p>
      <w:pPr/>
      <w:r>
        <w:rPr/>
        <w:t xml:space="preserve">«1.Հաստատել.</w:t>
      </w:r>
    </w:p>
    <w:p>
      <w:pPr/>
      <w:r>
        <w:rPr/>
        <w:t xml:space="preserve">1) հարկային մարմնի գործունեության շրջանակներում ռիսկի վրա հիմնված համալիր հարկային ստուգումների մեթոդաբանությունը և ռիսկայնությունը որոշող չափանիշների ընդհանուր նկարագիրը` համաձայն թիվ 1 հավելվածի:</w:t>
      </w:r>
    </w:p>
    <w:p>
      <w:pPr/>
      <w:r>
        <w:rPr/>
        <w:t xml:space="preserve">2) հարկային մարմնի գործունեության շրջանակներում ռիսկի վրա հիմնված տրանսֆերային գնագոյացման ստուգումների մեթոդաբանությունը և ռիսկայնությունը որոշող չափանիշների ընդհանուր նկարագիրը` համաձայն թիվ 2 հավելվածի:»:</w:t>
      </w:r>
    </w:p>
    <w:p>
      <w:pPr>
        <w:numPr>
          <w:ilvl w:val="0"/>
          <w:numId w:val="3"/>
        </w:numPr>
      </w:pPr>
      <w:r>
        <w:rPr/>
        <w:t xml:space="preserve">Որոշման 1-ին կետով հաստատված հավելվածում «Հավելված» բառը փոխարինել «Հավելված թիվ 1» բառերով:</w:t>
      </w:r>
    </w:p>
    <w:p>
      <w:pPr>
        <w:numPr>
          <w:ilvl w:val="0"/>
          <w:numId w:val="3"/>
        </w:numPr>
      </w:pPr>
      <w:r>
        <w:rPr/>
        <w:t xml:space="preserve">Որոշումը լրացնել նոր թիվ 2 հավելվածով` համաձայն հավելվածի: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</w:t>
      </w:r>
    </w:p>
    <w:p>
      <w:pPr>
        <w:jc w:val="end"/>
      </w:pPr>
      <w:r>
        <w:rPr/>
        <w:t xml:space="preserve"> Ն.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</w:t>
      </w:r>
    </w:p>
    <w:p>
      <w:pPr>
        <w:jc w:val="end"/>
      </w:pPr>
      <w:r>
        <w:rPr>
          <w:b w:val="1"/>
          <w:bCs w:val="1"/>
        </w:rPr>
        <w:t xml:space="preserve">ՀՀ կառավարության 2022 թվականի</w:t>
      </w:r>
    </w:p>
    <w:p>
      <w:pPr>
        <w:jc w:val="end"/>
      </w:pPr>
      <w:r>
        <w:rPr>
          <w:b w:val="1"/>
          <w:bCs w:val="1"/>
        </w:rPr>
        <w:t xml:space="preserve">__________ __-ի N __-Ն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թիվ 2</w:t>
      </w:r>
    </w:p>
    <w:p>
      <w:pPr>
        <w:jc w:val="end"/>
      </w:pPr>
      <w:r>
        <w:rPr>
          <w:b w:val="1"/>
          <w:bCs w:val="1"/>
        </w:rPr>
        <w:t xml:space="preserve">ՀՀ կառավարության 2017 թվականի</w:t>
      </w:r>
    </w:p>
    <w:p>
      <w:pPr>
        <w:jc w:val="end"/>
      </w:pPr>
      <w:r>
        <w:rPr>
          <w:b w:val="1"/>
          <w:bCs w:val="1"/>
        </w:rPr>
        <w:t xml:space="preserve">մայիսի 25-ի N 570-Ն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ՀԱՐԿԱՅԻՆ ՄԱՐՄՆԻ ԳՈՐԾՈՒՆԵՈՒԹՅԱՆ ՇՐՋԱՆԱԿՆԵՐՈՒՄ ՌԻՍԿԻ ՎՐԱ ՀԻՄՆՎԱԾ ՏՐԱՆՍՖԵՐԱՅԻՆ ԳՆԱԳՈՅԱՑՄԱՆ ՍՏՈՒԳՈՒՄՆԵՐԻ ՄԵԹՈԴԱԲԱՆՈՒԹՅՈՒՆԸ ԵՎ ՌԻՍԿԱՅՆՈՒԹՅՈՒՆԸ ՈՐՈՇՈՂ ՉԱՓԱՆԻՇՆԵՐԻ ԸՆԴՀԱՆՈՒՐ ՆԿԱՐԱԳԻՐԸ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ԸՆԴՀԱՆՈՒՐ ՏԵՂԵԿՈՒԹՅՈՒՆՆԵՐ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հավելվածով կանոնակարգվում են հարկային մարմնի կողմից` ռիսկի վրա հիմնված տրանսֆերային գնագոյացման ստուգումների համակարգի (այսուհետ` ռիսկի համակարգ) կիրառման հետ կապված ընդհանուր հարաբերությունները:</w:t>
      </w:r>
    </w:p>
    <w:p>
      <w:pPr>
        <w:numPr>
          <w:ilvl w:val="0"/>
          <w:numId w:val="5"/>
        </w:numPr>
      </w:pPr>
      <w:r>
        <w:rPr/>
        <w:t xml:space="preserve">Ռիսկի համակարգի նպատակն է ստուգման ենթակա հարկ վճարողների ընտրությունը կառուցել ռիսկային չափանիշների հիման վրա: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ՌԻՍԿԻ ՍԱՀՄԱՆՈՒՄԸ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Սույն հավելվածի իմաստով ռիսկը հարկ վճարողի կողմից իրականացված վերահսկվող գործարքների՝ պարզած ձեռքի հեռավորության սկզբունքին չհամապատասխանելու արդյունքում շահութահարկի և(կամ) բնօգտագործման վճար ռոյալթիի հաշվարկման և վճարման ոչ ամբողջական լինելու հավանականությունն է: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III. ՌԻՍԿԻ ՀԱՄԱԿԱՐԳԻ ՆԿԱՐԱԳՐՈՒԹՅՈՒՆԸ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Ռիսկի համակարգը հիմնված է հարկ վճարողների կողմից իրականացված գործարքների տվյալներով հարկ վճարողի գործունեության, ինչպես նաև տրանսֆերային գնագոյացման մասով ներկայացման ենթակա փաստաթղթերի` ըստ ռիսկայնության աստիճանի գնահատման և դասակարգման վրա:</w:t>
      </w:r>
    </w:p>
    <w:p>
      <w:pPr>
        <w:numPr>
          <w:ilvl w:val="0"/>
          <w:numId w:val="8"/>
        </w:numPr>
      </w:pPr>
      <w:r>
        <w:rPr/>
        <w:t xml:space="preserve">Հարկ վճարողների կողմից իրականացված գործարքների հիման վրա ռիսկի համակարգի միջոցով ռիսկերը գնահատվում են հետևյալ քայլերի հաջորդականությամբ`</w:t>
      </w:r>
    </w:p>
    <w:p>
      <w:pPr/>
      <w:r>
        <w:rPr>
          <w:b w:val="1"/>
          <w:bCs w:val="1"/>
        </w:rPr>
        <w:t xml:space="preserve">Քայլ 1</w:t>
      </w:r>
      <w:r>
        <w:rPr/>
        <w:t xml:space="preserve">. հարկային մարմնում հաշվառված հարկ վճարողների խմբավորում (դասակարգում).</w:t>
      </w:r>
    </w:p>
    <w:p>
      <w:pPr/>
      <w:r>
        <w:rPr>
          <w:b w:val="1"/>
          <w:bCs w:val="1"/>
        </w:rPr>
        <w:t xml:space="preserve">Քայլ 2</w:t>
      </w:r>
      <w:r>
        <w:rPr/>
        <w:t xml:space="preserve">. ռիսկային չափանիշների ձևավորում և դրանց հիման վրա` ըստ գործարքների հարկ վճարողների ռիսկայնության աստիճանի որոշում.</w:t>
      </w:r>
    </w:p>
    <w:p>
      <w:pPr/>
      <w:r>
        <w:rPr>
          <w:b w:val="1"/>
          <w:bCs w:val="1"/>
        </w:rPr>
        <w:t xml:space="preserve">Քայլ 3</w:t>
      </w:r>
      <w:r>
        <w:rPr/>
        <w:t xml:space="preserve">. ռիսկայնության աստիճանի որոշման արդյունքներով` հարկ վճարողների` բարձր, միջին և ցածր խմբերի դասակարգում: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ՀԱՐԿ ՎՃԱՐՈՂՆԵՐԻ ԽՄԲԱՎՈՐՈՒՄԸ (ԴԱՍԱԿԱՐԳՈՒՄԸ)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Հարկ վճարողների խմբեր ձևավորելու նպատակով հարկային մարմնում հաշվառված հարկ վճարողների ամբողջ բազան դասակարգվում է հետևյալ երկու խմբի`</w:t>
      </w:r>
    </w:p>
    <w:p>
      <w:pPr/>
      <w:r>
        <w:rPr/>
        <w:t xml:space="preserve">1) ընդհանուր հարկման համակարգում գործունեություն իրականացնող հարկ վճարողներ.</w:t>
      </w:r>
    </w:p>
    <w:p>
      <w:pPr/>
      <w:r>
        <w:rPr/>
        <w:t xml:space="preserve">2) 1-ին ենթակետում չնշված այլ հարկ վճարողներ:</w:t>
      </w:r>
    </w:p>
    <w:p>
      <w:pPr>
        <w:numPr>
          <w:ilvl w:val="0"/>
          <w:numId w:val="11"/>
        </w:numPr>
      </w:pPr>
      <w:r>
        <w:rPr/>
        <w:t xml:space="preserve">Հարկ վճարողների ռիսկայնության աստիճանի գնահատման նպատակով ընտրվում է 6-րդ կետի 1-ին ենթակետում նշված հարկ վճարողների խումբը` հաշվի առնելով նաև Հայաստանի Հանրապետության հարկային օրենսգրքի 360-րդ հոդվածի 3-րդ մասը: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ՌԻՍԿԱՅԻՆ ՉԱՓԱՆԻՇՆԵՐԻ ԸՆԴՀԱՆՈՒՐ ՆԿԱՐԱԳԻՐԸ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Ռիսկային չափանիշների ընտրությունը հիմնված է հարկային մարմնում առկա տեղեկատվության, ինչպես նաև այլ տեղեկատվական աղբյուրներում (այդ թվում` Հայաստանի Հանրապետության հարկային օրենսգրքի 367-րդ հոդվածով սահմանված) առկա հարկ վճարողի կողմից իրականացված գործարքների, տրանսֆերային գնագոյացման մասով ներկայացված փաստաթղթերի, ինչպես նաև դրանց վերլուծության արդյունքների վրա:</w:t>
      </w:r>
    </w:p>
    <w:p>
      <w:pPr>
        <w:numPr>
          <w:ilvl w:val="0"/>
          <w:numId w:val="13"/>
        </w:numPr>
      </w:pPr>
      <w:r>
        <w:rPr/>
        <w:t xml:space="preserve">Ռիսկի համակարգի կիրառման առումով հիմք են վերցվել հետևյալ ռիսկային չափանիշները`</w:t>
      </w:r>
    </w:p>
    <w:p>
      <w:pPr/>
      <w:r>
        <w:rPr/>
        <w:t xml:space="preserve">1) ապրանքների մատակարարման, ոչ նյութական ակտիվների օտարման, ոչ նյութական ակտիվների օգտագործման իրավունքի տրամադրման (ստացման), փոխառությունների տրամադրման (ստացման), դրամական պահանջի իրավունքի զիջման (փոխանցման), ֆինանսական ակտիվի օտարման (ձեռքբերման), աշխատանքների կատարման և (կամ) ծառայությունների մատուցման գործարքների ծավալը` ոչ ռեզիդենտ անձանց հետ.</w:t>
      </w:r>
    </w:p>
    <w:p>
      <w:pPr/>
      <w:r>
        <w:rPr/>
        <w:t xml:space="preserve">2) փոխկապակցված կողմերի միջև գործարքների առկայությունը և դրանց ծավալը.</w:t>
      </w:r>
    </w:p>
    <w:p>
      <w:pPr/>
      <w:r>
        <w:rPr/>
        <w:t xml:space="preserve">3) գործարքի կողմերից մեկի շահութահարկի և (կամ) ռոյալթիի գծով սահմանված հարկային արտոնություններից օգտվելու հանգամանքը.</w:t>
      </w:r>
    </w:p>
    <w:p>
      <w:pPr/>
      <w:r>
        <w:rPr/>
        <w:t xml:space="preserve">4) գործարքի կողմերից մեկի ռոյալթի վճարող համարվելու հանգամանքը.</w:t>
      </w:r>
    </w:p>
    <w:p>
      <w:pPr/>
      <w:r>
        <w:rPr/>
        <w:t xml:space="preserve">5) հարկման հատուկ ազատական համակարգեր ունեցող երկրների հետ գործարքների առկայությունը.</w:t>
      </w:r>
    </w:p>
    <w:p>
      <w:pPr/>
      <w:r>
        <w:rPr/>
        <w:t xml:space="preserve">6) մշտական հաստատության միջոցով Հայաստանի Հանրապետությունում գործունեություն իրականացնող ոչ ռեզիդենտ շահութահարկ վճարողի և այդ ոչ ռեզիդենտ անձի միջև ծախսերի բաշխման և գործարքի իրականացման առկայությունը և ծավալը.</w:t>
      </w:r>
    </w:p>
    <w:p>
      <w:pPr/>
      <w:r>
        <w:rPr/>
        <w:t xml:space="preserve">7) վերահսկվող գործարքների վերաբերյալ հարկ վճարողի ծանուցման առկայությունը.</w:t>
      </w:r>
    </w:p>
    <w:p>
      <w:pPr/>
      <w:r>
        <w:rPr/>
        <w:t xml:space="preserve">8) տրանսֆերային գնագոյացման փաստաթղթավորման չներկայացումը հարկային մարմին.</w:t>
      </w:r>
    </w:p>
    <w:p>
      <w:pPr/>
      <w:r>
        <w:rPr/>
        <w:t xml:space="preserve">9) տրանսֆերային գնագոյացման հաշվարկի առկայությունը.</w:t>
      </w:r>
    </w:p>
    <w:p>
      <w:pPr/>
      <w:r>
        <w:rPr/>
        <w:t xml:space="preserve">10) նախկինում կատարված տրանսֆերային գնագոյացման ստուգումների առկայությունը և դրանց արդյունքները: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ՌԻՍԿԱՅԻՆ ՉԱՓԱՆԻՇՆԵՐԻ ՏԱՐԲԵՐԱԿՈՒՄԸ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Ռիսկային չափանիշներն ըստ իրենց կարևորության ենթակա են տարբերակման երեք խմբի` բարձր, միջին և ցածր: Տարբերակումը կատարվում է ռիսկային չափանիշներին համապատասխան կշիռներ տալու եղանակով, որն ընդգրկում է 0.5-1.5 թվերի միջակայքը, այդ թվում`</w:t>
      </w:r>
    </w:p>
    <w:p>
      <w:pPr/>
      <w:r>
        <w:rPr/>
        <w:t xml:space="preserve">1) բարձր խումբ. ընդգրկում է 1.3 - 1.5 թվերի միջակայքը.</w:t>
      </w:r>
    </w:p>
    <w:p>
      <w:pPr/>
      <w:r>
        <w:rPr/>
        <w:t xml:space="preserve">2) միջին խումբ. ընդգրկում է 0.8 - 1.2 թվերի միջակայքը.</w:t>
      </w:r>
    </w:p>
    <w:p>
      <w:pPr/>
      <w:r>
        <w:rPr/>
        <w:t xml:space="preserve">3) ցածր խումբ. ընդգրկում է 0.5 - 0.7 թվերի միջակայքը: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VII. ՌԻՍԿԱՅԻՆ ՉԱՓԱՆԻՇՆԵՐԻ ԳՆԱՀԱՏՈՒՄԸ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Ռիսկային չափանիշների` ըստ կարևորության տարբերակումից հետո հաշվարկվում է դրանց ռիսկայնության առավելագույն միավորը: Վերջինիս որոշման նպատակով, սույն մեթոդաբանության կիրառման առումով, որպես առավելագույն սահման, հիմք է վերցվել ամենաբարձր եռանիշ թիվը` 999-ը:</w:t>
      </w:r>
    </w:p>
    <w:p>
      <w:pPr>
        <w:numPr>
          <w:ilvl w:val="0"/>
          <w:numId w:val="16"/>
        </w:numPr>
      </w:pPr>
      <w:r>
        <w:rPr/>
        <w:t xml:space="preserve">Յուրաքանչյուր ռիսկային չափանիշի առավելագույն միավորը հաշվարկվում է հետևյալ բանաձևի միջոցով`</w:t>
      </w:r>
    </w:p>
    <w:p>
      <w:pPr/>
      <w:r>
        <w:rPr>
          <w:vertAlign w:val="superscript"/>
        </w:rPr>
        <w:t xml:space="preserve">ՉԱՄ = ԱՍ x (ՉԿ/ԿՀ),</w:t>
      </w:r>
    </w:p>
    <w:p>
      <w:pPr/>
      <w:r>
        <w:rPr/>
        <w:t xml:space="preserve">որտեղ`</w:t>
      </w:r>
    </w:p>
    <w:p>
      <w:pPr/>
      <w:r>
        <w:rPr/>
        <w:t xml:space="preserve">ՉԱՄ-ը չափանիշի առավելագույն միավորն է,</w:t>
      </w:r>
    </w:p>
    <w:p>
      <w:pPr/>
      <w:r>
        <w:rPr/>
        <w:t xml:space="preserve">ԱՍ-ն առավելագույն սահմանն է,</w:t>
      </w:r>
    </w:p>
    <w:p>
      <w:pPr/>
      <w:r>
        <w:rPr/>
        <w:t xml:space="preserve">ԿՀ-ն բոլոր չափանիշների կշիռների հանրագումարն է,</w:t>
      </w:r>
    </w:p>
    <w:p>
      <w:pPr/>
      <w:r>
        <w:rPr/>
        <w:t xml:space="preserve">ՉԿ-ն տվյալ չափանիշին տրված կշիռն է:</w:t>
      </w:r>
    </w:p>
    <w:p>
      <w:pPr>
        <w:numPr>
          <w:ilvl w:val="0"/>
          <w:numId w:val="17"/>
        </w:numPr>
      </w:pPr>
      <w:r>
        <w:rPr/>
        <w:t xml:space="preserve">Հնարավոր է, որ չափանիշներն ունենան գնահատման մի քանի միջակայքեր, հետևաբար, ըստ այդ միջակայքերի՝ ռիսկային տարբեր միավորներ: Նման դեպքերում ավելի բարձր միավորը ցույց է տալիս ավելի բարձր ռիսկ:</w:t>
      </w:r>
    </w:p>
    <w:p>
      <w:pPr>
        <w:numPr>
          <w:ilvl w:val="0"/>
          <w:numId w:val="17"/>
        </w:numPr>
      </w:pPr>
      <w:r>
        <w:rPr/>
        <w:t xml:space="preserve">Յուրաքանչյուր չափանիշի առավելագույն միավորի հաշվարկումից հետո որոշվում են տվյալ չափանիշի միջակայքերի ռիսկային միավորները:</w:t>
      </w:r>
    </w:p>
    <w:p>
      <w:pPr/>
      <w:r>
        <w:rPr/>
        <w:t xml:space="preserve">       15.Հարկ վճարողի ռիսկայնության ընդհանուր միավորը հաշվարկվում է որպես առանձին չափանիշների ռիսկային միավորների հանրագումար:</w:t>
      </w:r>
    </w:p>
    <w:p>
      <w:pPr>
        <w:numPr>
          <w:ilvl w:val="0"/>
          <w:numId w:val="18"/>
        </w:numPr>
      </w:pPr>
      <w:r>
        <w:rPr/>
        <w:t xml:space="preserve">Ստուգումների պլանավորման նպատակով հիմք է ընդունվում հարկ վճարողի ռիսկայնության ընդհանուր միավորը: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VIII. ՌԻՍԿԱՅՆՈՒԹՅԱՆ ԸՆԴՀԱՆՈՒՐ ՄԻԱՎՈՐԻ ՀԻՄԱՆ ՎՐԱ ՀԱՐԿ ՎՃԱՐՈՂՆԵՐԻ՝ ԸՍՏ ՌԻՍԿԱՅՆՈՒԹՅԱՆ ԴԱՍԱԿԱՐԳՈՒՄԸ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Ըստ ռիսկայնության ընդհանուր միավորների նվազման հաջորդականության` հարկ վճարողները դասակարգվում են բարձր, միջին և ցածր խմբերի:</w:t>
      </w:r>
    </w:p>
    <w:p>
      <w:pPr>
        <w:numPr>
          <w:ilvl w:val="0"/>
          <w:numId w:val="19"/>
        </w:numPr>
      </w:pPr>
      <w:r>
        <w:rPr/>
        <w:t xml:space="preserve">Բարձր ռիսկայնության խմբում ընդգրկվում են հարկ վճարողների 20 տոկոսը, միջին ռիսկայնության խմբում` 30 տոկոսը, իսկ ցածր ռիսկայնության խմբում` 50 տոկոսը:</w:t>
      </w:r>
    </w:p>
    <w:p>
      <w:pPr>
        <w:numPr>
          <w:ilvl w:val="0"/>
          <w:numId w:val="19"/>
        </w:numPr>
      </w:pPr>
      <w:r>
        <w:rPr/>
        <w:t xml:space="preserve">Ռիսկային չափանիշների վրա հիմնված ստուգումների պլանավորման գործընթացի նկարագրությունը սահմանվում է հարկային մարմնի ղեկավարի հրամանով, որով կանոնակարգվող գործընթացի հիմնական քայլերն են՝</w:t>
      </w:r>
    </w:p>
    <w:p>
      <w:pPr/>
      <w:r>
        <w:rPr/>
        <w:t xml:space="preserve">1) պլանավորվող ժամանակահատվածի համար ստուգման ենթակա հարկ վճարողների թվի որոշումը.</w:t>
      </w:r>
    </w:p>
    <w:p>
      <w:pPr/>
      <w:r>
        <w:rPr/>
        <w:t xml:space="preserve">2) ըստ ռիսկայնության ընդհանուր միավորի ստուգման ենթակա հարկ վճարողների թվի՝ հարկ վճարողների ընտրանքը, որի ժամանակ նախապատվությունը տրվում է ավելի բարձր ռիսկայնության միավոր ունեցող հարկ վճարողներին, իսկ միևնույն ռիսկային միավորներ հավաքած հարկ վճարողներից առաջնահերթությունը տրվում է՝ ավելի մեծ շրջանառություն ունեցող հարկ վճարողներին,</w:t>
      </w:r>
    </w:p>
    <w:p>
      <w:pPr/>
      <w:r>
        <w:rPr/>
        <w:t xml:space="preserve">3) տրանսֆերային գնագոյացման ստուգումների տարեկան ծրագրի կազմման համար հարկ վճարողների միասնական ցանկի ձևավորումը՝ հաշվի առնելով Հայաստանի Հանրապետության հարկային օրենսգրքի 336-րդ և 337-րդ հոդվածների պահանջները: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F08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D8863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E96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ECE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007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9F0D5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AFC9D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99A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B29C9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BE95A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054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A9910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4FD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F9E2B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764E8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FAECD0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BCA5AC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74B8A0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2026-04-03T18:46:23+04:00</dcterms:created>
  <dcterms:modified xsi:type="dcterms:W3CDTF">2026-04-03T18:46:23+04:00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