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ՀԱՆՐԱՅԻՆ ԾԱՌԱՅՈՒԹՅՈՒՆՆԵՐԸ ԿԱՐԳԱՎՈՐՈՂ ՀԱՆՁՆԱԺՈՂՈՎԻ 2019 ԹՎԱԿԱՆԻ ԴԵԿՏԵՄԲԵՐԻ 25-Ի №517-Ն ՈՐՈՇՄԱՆ ՄԵՋ ՓՈՓՈԽՈՒԹՅՈՒՆՆԵՐ ԿԱՏԱՐԵԼՈՒ ԵՎ 2019 ԹՎԱԿԱՆԻ ԴԵԿՏԵՄԲԵՐԻ 18-Ի №468-Ն ՈՐՈՇՈՒՄՆ ՈՒԺԸ ԿՈՐՑՐԱԾ ՃԱՆԱՉԵԼՈՒ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ՀԱՆՐԱՅԻՆ ԾԱՌԱՅՈՒԹՅՈՒՆՆԵՐԸ ԿԱՐԳԱՎՈՐՈՂ ՀԱՆՁՆԱԺՈՂՈՎ</w:t>
      </w:r>
      <w:br/>
      <w:r>
        <w:rPr>
          <w:b w:val="1"/>
          <w:bCs w:val="1"/>
        </w:rPr>
        <w:t xml:space="preserve">ՈՐՈՇՈՒՄ</w:t>
      </w:r>
      <w:br/>
      <w:r>
        <w:rPr/>
        <w:t xml:space="preserve">-- ------ 2022 թվականի №----Ն</w:t>
      </w:r>
      <w:br/>
      <w:r>
        <w:rPr/>
        <w:t xml:space="preserve">ք. Երևան</w:t>
      </w:r>
    </w:p>
    <w:p>
      <w:pPr>
        <w:jc w:val="center"/>
      </w:pPr>
      <w:br/>
      <w:r>
        <w:rPr>
          <w:b w:val="1"/>
          <w:bCs w:val="1"/>
        </w:rPr>
        <w:t xml:space="preserve">ՀԱՅԱՍՏԱՆԻ ՀԱՆՐԱՊԵՏՈՒԹՅԱՆ ՀԱՆՐԱՅԻՆ ԾԱՌԱՅՈՒԹՅՈՒՆՆԵՐԸ ԿԱՐԳԱՎՈՐՈՂ ՀԱՆՁՆԱԺՈՂՈՎԻ 2019 ԹՎԱԿԱՆԻ ԴԵԿՏԵՄԲԵՐԻ 25-Ի №517-Ն ՈՐՈՇՄԱՆ ՄԵՋ ՓՈՓՈԽՈՒԹՅՈՒՆՆԵՐ ԿԱՏԱՐԵԼՈՒ ԵՎ 2019 ԹՎԱԿԱՆԻ ԴԵԿՏԵՄԲԵՐԻ 18-Ի №468-Ն ՈՐՈՇՈՒՄՆ ՈՒԺԸ ԿՈՐՑՐԱԾ ՃԱՆԱՉԵԼՈՒ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33-րդ, 34-րդ և 37-րդ հոդվածները՝ Հայաստանի Հանրապետության հանրային ծառայությունները կարգավորող հանձնաժողովը </w:t>
      </w:r>
      <w:r>
        <w:rPr>
          <w:b w:val="1"/>
          <w:bCs w:val="1"/>
        </w:rPr>
        <w:t xml:space="preserve">որոշում է.</w:t>
      </w:r>
      <w:br/>
      <w:r>
        <w:rPr/>
        <w:t xml:space="preserve">1. 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մանրածախ շուկայի առևտրային կանոնները հաստատելու և Հայաստանի Հանրապետության հանրային ծառայությունները կարգավորող հանձնաժողովի 2006 թվականի դեկտեմբերի 27-ի №358Ն որոշումն ուժը կորցրած ճանաչելու մասին» №517-Ն որոշման 1-ին կետով հաստատված՝ Հայաստանի Հանրապետության էլեկտրաէներգետիկական մանրածախ շուկայի առևտրային կանոնների №1 հավելվածի՝ սպառողի էներգատեղակայանքներով էլեկտրական էներգիան ենթասպառողների կամ բաշխողի այլ ցանցերի սնման համար փոխանցելու կարգի՝</w:t>
      </w:r>
      <w:br/>
      <w:r>
        <w:rPr/>
        <w:t xml:space="preserve">1) 14.1 կետի №1 աղյուսակը շարադրել հետևյալ խմբագրությամբ.</w:t>
      </w:r>
    </w:p>
    <w:p>
      <w:pPr>
        <w:jc w:val="both"/>
      </w:pPr>
      <w:br/>
      <w:r>
        <w:rPr/>
        <w:t xml:space="preserve"> «Աղյուսակ №1</w:t>
      </w:r>
      <w:br/>
      <w:r>
        <w:rPr/>
        <w:t xml:space="preserve"> (առանց ավելացված արժեքի հարկի)</w:t>
      </w:r>
    </w:p>
    <w:p>
      <w:pPr>
        <w:jc w:val="both"/>
      </w:pPr>
      <w:r>
        <w:rPr/>
        <w:t xml:space="preserve"> </w:t>
      </w:r>
    </w:p>
    <w:tbl>
      <w:tblGrid>
        <w:gridCol w:w="900" w:type="dxa"/>
        <w:gridCol w:w="2550" w:type="dxa"/>
        <w:gridCol w:w="3045" w:type="dxa"/>
      </w:tblGrid>
      <w:tblPr>
        <w:tblW w:w="0" w:type="auto"/>
        <w:tblLayout w:type="autofit"/>
      </w:tblPr>
      <w:tr>
        <w:trPr/>
        <w:tc>
          <w:tcPr>
            <w:tcW w:w="90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Մեծությունը</w:t>
            </w:r>
          </w:p>
        </w:tc>
        <w:tc>
          <w:tcPr>
            <w:tcW w:w="3045" w:type="dxa"/>
            <w:noWrap/>
          </w:tcPr>
          <w:p>
            <w:pPr/>
            <w:r>
              <w:rPr/>
              <w:t xml:space="preserve">Վճարի չափը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1.      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a</w:t>
            </w:r>
            <w:r>
              <w:rPr>
                <w:vertAlign w:val="subscript"/>
              </w:rPr>
              <w:t xml:space="preserve">1</w:t>
            </w:r>
          </w:p>
        </w:tc>
        <w:tc>
          <w:tcPr>
            <w:tcW w:w="3045" w:type="dxa"/>
            <w:noWrap/>
          </w:tcPr>
          <w:p>
            <w:pPr/>
            <w:r>
              <w:rPr/>
              <w:t xml:space="preserve">8 636 դրամ/ամիս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2.     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a</w:t>
            </w:r>
            <w:r>
              <w:rPr>
                <w:vertAlign w:val="subscript"/>
              </w:rPr>
              <w:t xml:space="preserve">2</w:t>
            </w:r>
          </w:p>
        </w:tc>
        <w:tc>
          <w:tcPr>
            <w:tcW w:w="3045" w:type="dxa"/>
            <w:noWrap/>
          </w:tcPr>
          <w:p>
            <w:pPr/>
            <w:r>
              <w:rPr/>
              <w:t xml:space="preserve">468 դրամ/ամիս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3.     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a</w:t>
            </w:r>
            <w:r>
              <w:rPr>
                <w:vertAlign w:val="subscript"/>
              </w:rPr>
              <w:t xml:space="preserve">3</w:t>
            </w:r>
          </w:p>
        </w:tc>
        <w:tc>
          <w:tcPr>
            <w:tcW w:w="3045" w:type="dxa"/>
            <w:noWrap/>
          </w:tcPr>
          <w:p>
            <w:pPr/>
            <w:r>
              <w:rPr/>
              <w:t xml:space="preserve">0,867 դրամ/կՎտժ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4.     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a</w:t>
            </w:r>
            <w:r>
              <w:rPr>
                <w:vertAlign w:val="subscript"/>
              </w:rPr>
              <w:t xml:space="preserve">4</w:t>
            </w:r>
          </w:p>
        </w:tc>
        <w:tc>
          <w:tcPr>
            <w:tcW w:w="3045" w:type="dxa"/>
            <w:noWrap/>
          </w:tcPr>
          <w:p>
            <w:pPr/>
            <w:r>
              <w:rPr/>
              <w:t xml:space="preserve">1,553 դրամ/կՎտժ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5.     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a</w:t>
            </w:r>
            <w:r>
              <w:rPr>
                <w:vertAlign w:val="subscript"/>
              </w:rPr>
              <w:t xml:space="preserve">5</w:t>
            </w:r>
          </w:p>
        </w:tc>
        <w:tc>
          <w:tcPr>
            <w:tcW w:w="3045" w:type="dxa"/>
            <w:noWrap/>
          </w:tcPr>
          <w:p>
            <w:pPr/>
            <w:r>
              <w:rPr/>
              <w:t xml:space="preserve">1,745 դրամ/կՎտժ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6.    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a</w:t>
            </w:r>
            <w:r>
              <w:rPr>
                <w:vertAlign w:val="subscript"/>
              </w:rPr>
              <w:t xml:space="preserve">6</w:t>
            </w:r>
          </w:p>
        </w:tc>
        <w:tc>
          <w:tcPr>
            <w:tcW w:w="3045" w:type="dxa"/>
            <w:noWrap/>
          </w:tcPr>
          <w:p>
            <w:pPr/>
            <w:r>
              <w:rPr/>
              <w:t xml:space="preserve">0,836 դրամ/կՎտժ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7.     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a</w:t>
            </w:r>
            <w:r>
              <w:rPr>
                <w:vertAlign w:val="subscript"/>
              </w:rPr>
              <w:t xml:space="preserve">7</w:t>
            </w:r>
          </w:p>
        </w:tc>
        <w:tc>
          <w:tcPr>
            <w:tcW w:w="3045" w:type="dxa"/>
            <w:noWrap/>
          </w:tcPr>
          <w:p>
            <w:pPr/>
            <w:r>
              <w:rPr/>
              <w:t xml:space="preserve">1,484 դրամ/կՎտժ</w:t>
            </w:r>
          </w:p>
        </w:tc>
      </w:tr>
    </w:tbl>
    <w:p>
      <w:pPr>
        <w:jc w:val="both"/>
      </w:pPr>
      <w:r>
        <w:rPr/>
        <w:t xml:space="preserve">».</w:t>
      </w:r>
      <w:br/>
      <w:r>
        <w:rPr/>
        <w:t xml:space="preserve">2) 15-րդ կետի №1 աղյուսակը շարադրել հետևյալ խմբագրությամբ.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tbl>
      <w:tblGrid>
        <w:gridCol w:w="1395" w:type="dxa"/>
        <w:gridCol w:w="2205" w:type="dxa"/>
        <w:gridCol w:w="2655" w:type="dxa"/>
        <w:gridCol w:w="3090" w:type="dxa"/>
      </w:tblGrid>
      <w:tblPr>
        <w:tblW w:w="0" w:type="auto"/>
        <w:tblLayout w:type="autofit"/>
      </w:tblPr>
      <w:tr>
        <w:trPr/>
        <w:tc>
          <w:tcPr>
            <w:tcW w:w="13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745" w:type="dxa"/>
            <w:gridSpan w:val="2"/>
            <w:noWrap/>
          </w:tcPr>
          <w:p>
            <w:pPr/>
            <w:r>
              <w:rPr/>
              <w:t xml:space="preserve">                            «Աղյուսակ №1 դրամ/ամիս</w:t>
            </w:r>
          </w:p>
          <w:p>
            <w:pPr/>
            <w:r>
              <w:rPr/>
              <w:t xml:space="preserve">            (առանց ավելացված արժեքի հարկի)</w:t>
            </w:r>
          </w:p>
        </w:tc>
      </w:tr>
      <w:tr>
        <w:trPr/>
        <w:tc>
          <w:tcPr>
            <w:tcW w:w="13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</w:t>
            </w:r>
          </w:p>
        </w:tc>
        <w:tc>
          <w:tcPr>
            <w:tcW w:w="2205" w:type="dxa"/>
            <w:noWrap/>
          </w:tcPr>
          <w:p>
            <w:pPr/>
            <w:r>
              <w:rPr/>
              <w:t xml:space="preserve">Սպառողի</w:t>
            </w:r>
            <w:br/>
            <w:r>
              <w:rPr/>
              <w:t xml:space="preserve"> սպառման</w:t>
            </w:r>
            <w:br/>
            <w:r>
              <w:rPr/>
              <w:t xml:space="preserve"> համակարգի</w:t>
            </w:r>
            <w:br/>
            <w:r>
              <w:rPr/>
              <w:t xml:space="preserve"> լարումը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Սպառողի ենթակայանի</w:t>
            </w:r>
            <w:br/>
            <w:r>
              <w:rPr/>
              <w:t xml:space="preserve"> շահագործման</w:t>
            </w:r>
            <w:br/>
            <w:r>
              <w:rPr/>
              <w:t xml:space="preserve"> փոխհատուցվող</w:t>
            </w:r>
            <w:br/>
            <w:r>
              <w:rPr/>
              <w:t xml:space="preserve"> ծախսերի սահմանային</w:t>
            </w:r>
            <w:br/>
            <w:r>
              <w:rPr/>
              <w:t xml:space="preserve"> մեծությունը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Սպառողի</w:t>
            </w:r>
            <w:br/>
            <w:r>
              <w:rPr/>
              <w:t xml:space="preserve"> էլեկտրահաղորդման</w:t>
            </w:r>
            <w:br/>
            <w:r>
              <w:rPr/>
              <w:t xml:space="preserve"> գծերի շահագործման</w:t>
            </w:r>
            <w:br/>
            <w:r>
              <w:rPr/>
              <w:t xml:space="preserve"> փոխհատուցվող ծախսերի</w:t>
            </w:r>
            <w:br/>
            <w:r>
              <w:rPr/>
              <w:t xml:space="preserve"> սահմանային մեծությունը</w:t>
            </w:r>
          </w:p>
        </w:tc>
      </w:tr>
      <w:tr>
        <w:trPr/>
        <w:tc>
          <w:tcPr>
            <w:tcW w:w="1395" w:type="dxa"/>
            <w:noWrap/>
          </w:tcPr>
          <w:p>
            <w:pPr/>
            <w:r>
              <w:rPr/>
              <w:t xml:space="preserve"> 1.</w:t>
            </w:r>
          </w:p>
        </w:tc>
        <w:tc>
          <w:tcPr>
            <w:tcW w:w="2205" w:type="dxa"/>
            <w:noWrap/>
          </w:tcPr>
          <w:p>
            <w:pPr/>
            <w:r>
              <w:rPr/>
              <w:t xml:space="preserve">6 (10) կՎ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97 157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17 993</w:t>
            </w:r>
          </w:p>
        </w:tc>
      </w:tr>
      <w:tr>
        <w:trPr/>
        <w:tc>
          <w:tcPr>
            <w:tcW w:w="1395" w:type="dxa"/>
            <w:noWrap/>
          </w:tcPr>
          <w:p>
            <w:pPr/>
            <w:r>
              <w:rPr/>
              <w:t xml:space="preserve">       2.</w:t>
            </w:r>
          </w:p>
        </w:tc>
        <w:tc>
          <w:tcPr>
            <w:tcW w:w="2205" w:type="dxa"/>
            <w:noWrap/>
          </w:tcPr>
          <w:p>
            <w:pPr/>
            <w:r>
              <w:rPr/>
              <w:t xml:space="preserve">35 կՎ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388 628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30 587</w:t>
            </w:r>
          </w:p>
        </w:tc>
      </w:tr>
      <w:tr>
        <w:trPr/>
        <w:tc>
          <w:tcPr>
            <w:tcW w:w="1395" w:type="dxa"/>
            <w:noWrap/>
          </w:tcPr>
          <w:p>
            <w:pPr/>
            <w:r>
              <w:rPr/>
              <w:t xml:space="preserve">       3.</w:t>
            </w:r>
          </w:p>
        </w:tc>
        <w:tc>
          <w:tcPr>
            <w:tcW w:w="2205" w:type="dxa"/>
            <w:noWrap/>
          </w:tcPr>
          <w:p>
            <w:pPr/>
            <w:r>
              <w:rPr/>
              <w:t xml:space="preserve">110 կՎ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777 257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32 385</w:t>
            </w:r>
          </w:p>
        </w:tc>
      </w:tr>
    </w:tbl>
    <w:p>
      <w:pPr>
        <w:jc w:val="both"/>
      </w:pPr>
      <w:r>
        <w:rPr/>
        <w:t xml:space="preserve">»։</w:t>
      </w:r>
    </w:p>
    <w:p>
      <w:pPr>
        <w:jc w:val="both"/>
      </w:pPr>
      <w:br/>
      <w:r>
        <w:rPr/>
        <w:t xml:space="preserve">2. Ուժը կորցրած ճանաչել Հայաստանի Հանրապետության հանրային ծառայությունները կարգավորող հանձնաժողովի 2019 թվականի դեկտեմբերի 18-ի «Սպառողների էներգատեղակայանքներով էլեկտրական էներգիան ենթասպառողների կամ բաշխողի այլ ցանցերի սնման համար փոխանցելու կարգը հաստատելու և Հայաստանի Հանրապետության հանրային ծառայությունները կարգավորող հանձնաժողովի 2004 թվականի ապրիլի 14-ի №41-Ն որոշումն ուժը կորցրած ճանաչելու մասին» №468-Ն որոշումը։</w:t>
      </w:r>
    </w:p>
    <w:p>
      <w:pPr>
        <w:jc w:val="both"/>
      </w:pPr>
      <w:br/>
      <w:r>
        <w:rPr/>
        <w:t xml:space="preserve">3. Սույն որոշումն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ՀԱՆՐԱՅԻՆ</w:t>
      </w:r>
      <w:br/>
      <w:r>
        <w:rPr>
          <w:b w:val="1"/>
          <w:bCs w:val="1"/>
        </w:rPr>
        <w:t xml:space="preserve"> ԾԱՌԱՅՈՒԹՅՈՒՆՆԵՐԸ ԿԱՐԳԱՎՈՐՈՂ</w:t>
      </w:r>
      <w:br/>
      <w:r>
        <w:rPr>
          <w:b w:val="1"/>
          <w:bCs w:val="1"/>
        </w:rPr>
        <w:t xml:space="preserve"> ՀԱՆՁՆԱԺՈՂՈՎԻ ՆԱԽԱԳԱՀ՝                                                     Գ. ԲԱՂՐԱՄՅԱՆ</w:t>
      </w:r>
      <w:br/>
      <w:r>
        <w:rPr/>
        <w:t xml:space="preserve"> </w:t>
      </w:r>
      <w:br/>
      <w:r>
        <w:rPr/>
        <w:t xml:space="preserve"> ք. Երևան</w:t>
      </w:r>
      <w:br/>
      <w:r>
        <w:rPr/>
        <w:t xml:space="preserve"> -- ------------ 2022թ.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2026-03-31T14:48:08+04:00</dcterms:created>
  <dcterms:modified xsi:type="dcterms:W3CDTF">2026-03-31T14:48:08+04:00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