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ՊԵՏԱԿԱՆ ԲՅՈՒՋԵԻ «ՆԱԽՆԱԿԱՆ (ԱՐՀԵՍՏԱԳՈՐԾԱԿԱՆ) ԵՎ ՄԻՋԻՆ ՄԱՍՆԱԳԻՏԱԿԱՆ ԿՐԹՈՒԹՅՈՒՆ», «ՀԱՆՐԱԿՐԹՈՒԹՅԱՆ ԾՐԱԳԻՐ» ԵՎ «ԱՐՏԱԴՊՐՈՑԱԿԱՆ ԴԱՍՏԻԱՐԱԿՈՒԹՅԱՆ ԾՐԱԳԻՐ» ԾՐԱԳՐԵՐԻ ՄԻՋՈՑԱՌՈՒՄՆԵՐԻ ՇՐՋԱՆԱԿՈՒՄ ՄԻՋԻՆ ՄԱՍՆԱԳԻՏԱԿԱՆ, ՀԱՏՈՒԿ, ՄԱՍՆԱԳԻՏԱՑՎԱԾ ԵՎ ԱՐՏԱԴՊՐՈՑԱԿԱՆ ԿՐԹՈՒԹՅՈՒՆ ԻՐԱԿԱՆԱՑՆՈՂ ՈՒՍՈՒՄՆԱԿԱՆ ՀԱՍՏԱՏՈՒԹՅՈՒՆՆԵՐՈՒՄ ՍՈՎՈՐՈՂՆԵՐԻ ՍՆՆԴԻ ԿԱԶՄԱԿԵՐՊՄԱՆ ՆՊԱՏԱԿՈՎ ՏՐԱՄԱԴՐՎՈՂ ՖԻՆԱՆՍԱԿԱՆ ՄԻՋՈՑՆԵՐԻ ՀԱՇՎԱՐԿՄԱՆ ՆՈՐՄԱՏԻՎՆԵՐԸ ՀԱՍՏԱՏԵԼՈՒ ՄԱՍԻՆ</w:t>
      </w:r>
      <w:bookmarkEnd w:id="0"/>
    </w:p>
    <w:p>
      <w:pPr>
        <w:jc w:val="center"/>
      </w:pPr>
      <w:r>
        <w:rPr/>
        <w:t xml:space="preserve">ՀԱՅԱՍՏԱՆԻ ՀԱՆՐԱՊԵՏՈՒԹՅԱՆ ՊԵՏԱԿԱՆ ԲՅՈՒՋԵԻ «ՆԱԽՆԱԿԱՆ (ԱՐՀԵՍՏԱԳՈՐԾԱԿԱՆ) ԵՎ ՄԻՋԻՆ ՄԱՍՆԱԳԻՏԱԿԱՆ ԿՐԹՈՒԹՅՈՒՆ», «ՀԱՆՐԱԿՐԹՈՒԹՅԱՆ ԾՐԱԳԻՐ» ԵՎ «ԱՐՏԱԴՊՐՈՑԱԿԱՆ ԴԱՍՏԻԱՐԱԿՈՒԹՅԱՆ ԾՐԱԳԻՐ» ԾՐԱԳՐԵՐԻ ՄԻՋՈՑԱՌՈՒՄՆԵՐԻ ՇՐՋԱՆԱԿՈՒՄ ՄԻՋԻՆ ՄԱՍՆԱԳԻՏԱԿԱՆ, ՀԱՏՈՒԿ, ՄԱՍՆԱԳԻՏԱՑՎԱԾ ԵՎ ԱՐՏԱԴՊՐՈՑԱԿԱՆ ԿՐԹՈՒԹՅՈՒՆ ԻՐԱԿԱՆԱՑՆՈՂ ՈՒՍՈՒՄՆԱԿԱՆ ՀԱՍՏԱՏՈՒԹՅՈՒՆՆԵՐՈՒՄ ՍՈՎՈՐՈՂՆԵՐԻ ՍՆՆԴԻ ԿԱԶՄԱԿԵՐՊՄԱՆ ՆՊԱՏԱԿՈՎ ՏՐԱՄԱԴՐՎՈՂ ՖԻՆԱՆՍԱԿԱՆ ՄԻՋՈՑՆԵՐԻ ՀԱՇՎԱՐԿՄԱՆ ՆՈՐՄԱՏԻՎՆԵՐԸ ՀԱՍՏԱՏԵԼՈՒ ՄԱՍԻՆ</w:t>
      </w:r>
    </w:p>
    <w:p>
      <w:pPr>
        <w:jc w:val="center"/>
      </w:pPr>
      <w:r>
        <w:rPr/>
        <w:t xml:space="preserve"> </w:t>
      </w:r>
    </w:p>
    <w:p>
      <w:pPr/>
      <w:r>
        <w:rPr/>
        <w:t xml:space="preserve">Հիմք ընդունելով «Հանրակրթության մասին» ՀՀ օրենքի 7-րդ հոդվածի 10-րդ մասի 5-րդ, 30-րդ հոդվածի 1-ին մասի 26․12-րդ կետերը և «Նախնական մասնագիտական (արհեստագործական) և միջին մասնագիտական կրթության մասին» ՀՀ օրենքի 16-րդ հոդվածի 4-րդ մասը՝   </w:t>
      </w:r>
    </w:p>
    <w:p>
      <w:pPr>
        <w:jc w:val="center"/>
      </w:pPr>
      <w:r>
        <w:rPr/>
        <w:t xml:space="preserve">Հ Ր Ա Մ Ա Յ ՈՒ Մ Ե Մ</w:t>
      </w:r>
    </w:p>
    <w:p>
      <w:pPr/>
      <w:r>
        <w:rPr>
          <w:u w:val="single"/>
        </w:rPr>
        <w:t xml:space="preserve"> </w:t>
      </w:r>
    </w:p>
    <w:p>
      <w:pPr>
        <w:numPr>
          <w:ilvl w:val="0"/>
          <w:numId w:val="2"/>
        </w:numPr>
      </w:pPr>
      <w:r>
        <w:rPr/>
        <w:t xml:space="preserve">Հաստատել Հայաստանի Հանրապետության պետական բյուջեի «Նախնական (արհեստագործական) և միջին մասնագիտական կրթություն», «Հանրակրթության ծրագիր» և «Արտադպրոցական դաստիարակության ծրագիր» ծրագրերի միջոցառումների շրջանակում միջին մասնագիտական, հատուկ, մասնագիտացված և արտադպրոցական կրթություն իրականացնող ուսումնական հաստատություններում սովորողների սննդի կազմակերպման նպատակով տրամադրվող ֆինանսական միջոցների հաշվարկման նորմատիվները՝ համաձայն Հավելվածի:</w:t>
      </w:r>
    </w:p>
    <w:p>
      <w:pPr>
        <w:numPr>
          <w:ilvl w:val="0"/>
          <w:numId w:val="2"/>
        </w:numPr>
      </w:pPr>
      <w:r>
        <w:rPr/>
        <w:t xml:space="preserve">Սույն հրամանն ուժի մեջ է մտնում պաշտոնական հրապարակմանը հաջորդող օրը։</w:t>
      </w:r>
    </w:p>
    <w:p>
      <w:pPr/>
      <w:r>
        <w:rPr/>
        <w:t xml:space="preserve"> </w:t>
      </w:r>
    </w:p>
    <w:p>
      <w:pPr>
        <w:jc w:val="end"/>
      </w:pPr>
      <w:r>
        <w:rPr/>
        <w:t xml:space="preserve">Հավելված</w:t>
      </w:r>
    </w:p>
    <w:p>
      <w:pPr>
        <w:jc w:val="end"/>
      </w:pPr>
      <w:r>
        <w:rPr/>
        <w:t xml:space="preserve">ՀՀ կրթության, գիտության, մշակույթի և սպորտի</w:t>
      </w:r>
    </w:p>
    <w:p>
      <w:pPr>
        <w:jc w:val="end"/>
      </w:pPr>
      <w:r>
        <w:rPr/>
        <w:t xml:space="preserve">2022 թվականի ----------------------- ------ -ի</w:t>
      </w:r>
    </w:p>
    <w:p>
      <w:pPr>
        <w:jc w:val="end"/>
      </w:pPr>
      <w:r>
        <w:rPr/>
        <w:t xml:space="preserve">N ------------Ն հրամանի</w:t>
      </w:r>
    </w:p>
    <w:p>
      <w:pPr>
        <w:jc w:val="end"/>
      </w:pPr>
      <w:r>
        <w:rPr/>
        <w:t xml:space="preserve"> </w:t>
      </w:r>
    </w:p>
    <w:p>
      <w:pPr>
        <w:jc w:val="center"/>
      </w:pPr>
      <w:r>
        <w:rPr/>
        <w:t xml:space="preserve">ՀԱՅԱՍՏԱՆԻ ՀԱՆՐԱՊԵՏՈՒԹՅԱՆ ՊԵՏԱԿԱՆ ԲՅՈՒՋԵԻ «ՆԱԽՆԱԿԱՆ (ԱՐՀԵՍՏԱԳՈՐԾԱԿԱՆ) ԵՎ ՄԻՋԻՆ ՄԱՍՆԱԳԻՏԱԿԱՆ ԿՐԹՈՒԹՅՈՒՆ», «ՀԱՆՐԱԿՐԹՈՒԹՅԱՆ ԾՐԱԳԻՐ» ԵՎ «ԱՐՏԱԴՊՐՈՑԱԿԱՆ ԴԱՍՏԻԱՐԱԿՈՒԹՅԱՆ ԾՐԱԳԻՐ» ԾՐԱԳՐԵՐԻ ՄԻՋՈՑԱՌՈՒՄՆԵՐԻ ՇՐՋԱՆԱԿՈՒՄ ՄԻՋԻՆ ՄԱՍՆԱԳԻՏԱԿԱՆ, ՀԱՏՈՒԿ, ՄԱՍՆԱԳԻՏԱՑՎԱԾ ԵՎ ԱՐՏԱԴՊՐՈՑԱԿԱՆ ԿՐԹՈՒԹՅՈՒՆ ԻՐԱԿԱՆԱՑՆՈՂ ՈՒՍՈՒՄՆԱԿԱՆ ՀԱՍՏԱՏՈՒԹՅՈՒՆՆԵՐՈՒՄ ՍՈՎՈՐՈՂՆԵՐԻ ՍՆՆԴԻ ԿԱԶՄԱԿԵՐՊՄԱՆ ՆՊԱՏԱԿՈՎ ՏՐԱՄԱԴՐՎՈՂ ՖԻՆԱՆՍԱԿԱՆ ՄԻՋՈՑՆԵՐԻ ՀԱՇՎԱՐԿՄԱՆ ՆՈՐՄԱՏԻՎՆԵՐԸ</w:t>
      </w:r>
    </w:p>
    <w:tbl>
      <w:tblGrid>
        <w:gridCol w:w="6675" w:type="dxa"/>
        <w:gridCol w:w="3600" w:type="dxa"/>
      </w:tblGrid>
      <w:tblPr>
        <w:tblW w:w="10275" w:type="dxa"/>
        <w:tblLayout w:type="autofit"/>
      </w:tblPr>
      <w:tr>
        <w:trPr/>
        <w:tc>
          <w:tcPr>
            <w:tcW w:w="6675" w:type="dxa"/>
            <w:noWrap/>
          </w:tcPr>
          <w:p>
            <w:pPr/>
            <w:r>
              <w:rPr/>
              <w:t xml:space="preserve"> </w:t>
            </w:r>
          </w:p>
        </w:tc>
        <w:tc>
          <w:tcPr>
            <w:tcW w:w="3600" w:type="dxa"/>
            <w:noWrap/>
          </w:tcPr>
          <w:p>
            <w:pPr/>
            <w:r>
              <w:rPr/>
              <w:t xml:space="preserve">առաջարկվող գումարը՝ ՀՀ դրամ</w:t>
            </w:r>
          </w:p>
        </w:tc>
      </w:tr>
      <w:tr>
        <w:trPr/>
        <w:tc>
          <w:tcPr>
            <w:tcW w:w="6675" w:type="dxa"/>
            <w:noWrap/>
          </w:tcPr>
          <w:p>
            <w:pPr/>
            <w:r>
              <w:rPr/>
              <w:t xml:space="preserve">հատուկ և մասնագիտացված հանրակրթական կրթություն իրականացնող ուսումնական հաստատությունների երթևեկող սաների համար</w:t>
            </w:r>
          </w:p>
        </w:tc>
        <w:tc>
          <w:tcPr>
            <w:tcW w:w="3600" w:type="dxa"/>
            <w:noWrap/>
          </w:tcPr>
          <w:p>
            <w:pPr/>
            <w:r>
              <w:rPr/>
              <w:t xml:space="preserve">990</w:t>
            </w:r>
          </w:p>
        </w:tc>
      </w:tr>
      <w:tr>
        <w:trPr/>
        <w:tc>
          <w:tcPr>
            <w:tcW w:w="6675" w:type="dxa"/>
            <w:noWrap/>
          </w:tcPr>
          <w:p>
            <w:pPr/>
            <w:r>
              <w:rPr/>
              <w:t xml:space="preserve">հատուկ և մասնագիտացված հանրակրթական կրթություն իրականացնող ուսումնական հաստատությունների գիշերող սաների համար</w:t>
            </w:r>
          </w:p>
        </w:tc>
        <w:tc>
          <w:tcPr>
            <w:tcW w:w="3600" w:type="dxa"/>
            <w:noWrap/>
          </w:tcPr>
          <w:p>
            <w:pPr/>
            <w:r>
              <w:rPr/>
              <w:t xml:space="preserve">1,670</w:t>
            </w:r>
          </w:p>
        </w:tc>
      </w:tr>
      <w:tr>
        <w:trPr/>
        <w:tc>
          <w:tcPr>
            <w:tcW w:w="6675" w:type="dxa"/>
            <w:noWrap/>
          </w:tcPr>
          <w:p>
            <w:pPr/>
            <w:r>
              <w:rPr/>
              <w:t xml:space="preserve">մասնագիտացված մարզառազմական կրթություն իրականացնող ուսումնական հաստատությունների երթևեկող սաների համար</w:t>
            </w:r>
          </w:p>
        </w:tc>
        <w:tc>
          <w:tcPr>
            <w:tcW w:w="3600" w:type="dxa"/>
            <w:noWrap/>
          </w:tcPr>
          <w:p>
            <w:pPr/>
            <w:r>
              <w:rPr/>
              <w:t xml:space="preserve">1,460</w:t>
            </w:r>
          </w:p>
        </w:tc>
      </w:tr>
      <w:tr>
        <w:trPr/>
        <w:tc>
          <w:tcPr>
            <w:tcW w:w="6675" w:type="dxa"/>
            <w:noWrap/>
          </w:tcPr>
          <w:p>
            <w:pPr/>
            <w:r>
              <w:rPr/>
              <w:t xml:space="preserve">մասնագիտացված մարզառազմական կրթություն իրականացնող ուսումնական հաստատությունների գիշերող սաների համար</w:t>
            </w:r>
          </w:p>
        </w:tc>
        <w:tc>
          <w:tcPr>
            <w:tcW w:w="3600" w:type="dxa"/>
            <w:noWrap/>
          </w:tcPr>
          <w:p>
            <w:pPr/>
            <w:r>
              <w:rPr/>
              <w:t xml:space="preserve">2,470</w:t>
            </w:r>
          </w:p>
        </w:tc>
      </w:tr>
      <w:tr>
        <w:trPr/>
        <w:tc>
          <w:tcPr>
            <w:tcW w:w="6675" w:type="dxa"/>
            <w:noWrap/>
          </w:tcPr>
          <w:p>
            <w:pPr/>
            <w:r>
              <w:rPr/>
              <w:t xml:space="preserve">մասնագիտացված մարզական կրթություն իրականացնող ուսումնական հաստատությունների երթևեկող սաների համար</w:t>
            </w:r>
          </w:p>
        </w:tc>
        <w:tc>
          <w:tcPr>
            <w:tcW w:w="3600" w:type="dxa"/>
            <w:noWrap/>
          </w:tcPr>
          <w:p>
            <w:pPr/>
            <w:r>
              <w:rPr/>
              <w:t xml:space="preserve">1,800</w:t>
            </w:r>
          </w:p>
        </w:tc>
      </w:tr>
      <w:tr>
        <w:trPr/>
        <w:tc>
          <w:tcPr>
            <w:tcW w:w="6675" w:type="dxa"/>
            <w:noWrap/>
          </w:tcPr>
          <w:p>
            <w:pPr/>
            <w:r>
              <w:rPr/>
              <w:t xml:space="preserve">մասնագիտացված մարզական կրթություն իրականացնող ուսումնական հաստատությունների գիշերող սաների համար</w:t>
            </w:r>
          </w:p>
        </w:tc>
        <w:tc>
          <w:tcPr>
            <w:tcW w:w="3600" w:type="dxa"/>
            <w:noWrap/>
          </w:tcPr>
          <w:p>
            <w:pPr/>
            <w:r>
              <w:rPr/>
              <w:t xml:space="preserve">3,050</w:t>
            </w:r>
          </w:p>
        </w:tc>
      </w:tr>
      <w:tr>
        <w:trPr/>
        <w:tc>
          <w:tcPr>
            <w:tcW w:w="6675" w:type="dxa"/>
            <w:noWrap/>
          </w:tcPr>
          <w:p>
            <w:pPr/>
            <w:r>
              <w:rPr/>
              <w:t xml:space="preserve">արտադպրոցական կրթություն իրականացնող կազմակերպություններում դպրոցականների ամառային հանգստի կազմակերպման արդյունքում երթևեկող սաների համար</w:t>
            </w:r>
          </w:p>
        </w:tc>
        <w:tc>
          <w:tcPr>
            <w:tcW w:w="3600" w:type="dxa"/>
            <w:noWrap/>
          </w:tcPr>
          <w:p>
            <w:pPr/>
            <w:r>
              <w:rPr/>
              <w:t xml:space="preserve">1,700</w:t>
            </w:r>
          </w:p>
        </w:tc>
      </w:tr>
      <w:tr>
        <w:trPr/>
        <w:tc>
          <w:tcPr>
            <w:tcW w:w="6675" w:type="dxa"/>
            <w:noWrap/>
          </w:tcPr>
          <w:p>
            <w:pPr/>
            <w:r>
              <w:rPr/>
              <w:t xml:space="preserve">արտադպրոցական կրթություն իրականացնող կազմակերպություններում դպրոցականների ամառային հանգստի կազմակերպման արդյունքում գիշերող սաների համար</w:t>
            </w:r>
          </w:p>
        </w:tc>
        <w:tc>
          <w:tcPr>
            <w:tcW w:w="3600" w:type="dxa"/>
            <w:noWrap/>
          </w:tcPr>
          <w:p>
            <w:pPr/>
            <w:r>
              <w:rPr/>
              <w:t xml:space="preserve">2,870</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DE84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2026-03-31T13:22:02+04:00</dcterms:created>
  <dcterms:modified xsi:type="dcterms:W3CDTF">2026-03-31T13:22:02+04:00</dcterms:modified>
</cp:coreProperties>
</file>

<file path=docProps/custom.xml><?xml version="1.0" encoding="utf-8"?>
<Properties xmlns="http://schemas.openxmlformats.org/officeDocument/2006/custom-properties" xmlns:vt="http://schemas.openxmlformats.org/officeDocument/2006/docPropsVTypes"/>
</file>