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ԵՎ ԳԻՏՈՒԹՅԱՆ ՆԱԽԱՐԱՐԻ 2010 ԹՎԱԿԱՆԻ ՆՈՅԵՄԲԵՐԻ 24-Ի N 1640-Ն ՀՐԱՄԱՆՈՒՄ ՓՈՓՈԽՈՒԹՅՈՒՆՆԵՐ ԿԱՏԱՐԵԼՈՒ ՄԱՍԻՆ» ՀԱՅԱՍՏԱՆԻ ՀԱՆՐԱՊԵՏՈՒԹՅԱՆ ԿՐԹՈՒԹՅԱՆ, ԳԻՏՈՒԹՅԱՆ, ՄՇԱԿՈՒՅԹԻ ԵՎ ՍՊՈՐՏԻ ՆԱԽԱՐԱՐԻ ՀՐԱՄԱՆ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ՆԱԽԱՐԱՐԻ 2010 ԹՎԱԿԱՆԻ ՆՈՅԵՄԲԵՐԻ 24-Ի N 1640-Ն ՀՐԱՄԱՆՈՒՄ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«Հանրակրթության մասին» օրենքի 16-րդ հոդվածի 1.1. մասը և «Նորմատիվ իրավական ակտերի մասին» օրենքի 33-րդ և 34-րդ հոդվածները`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</w:t>
      </w:r>
      <w:r>
        <w:rPr/>
        <w:t xml:space="preserve">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ՀՀ կրթության և գիտության նախարարի 2010 թվականի նոյեմբերի 24-ի՝ «Դ</w:t>
      </w:r>
      <w:r>
        <w:rPr>
          <w:b w:val="1"/>
          <w:bCs w:val="1"/>
        </w:rPr>
        <w:t xml:space="preserve">պրոցական</w:t>
      </w:r>
      <w:r>
        <w:rPr/>
        <w:t xml:space="preserve"> </w:t>
      </w:r>
      <w:r>
        <w:rPr>
          <w:b w:val="1"/>
          <w:bCs w:val="1"/>
        </w:rPr>
        <w:t xml:space="preserve">տարիքի</w:t>
      </w:r>
      <w:r>
        <w:rPr/>
        <w:t xml:space="preserve"> </w:t>
      </w:r>
      <w:r>
        <w:rPr>
          <w:b w:val="1"/>
          <w:bCs w:val="1"/>
        </w:rPr>
        <w:t xml:space="preserve">երեխաներին</w:t>
      </w:r>
      <w:r>
        <w:rPr/>
        <w:t xml:space="preserve"> </w:t>
      </w:r>
      <w:r>
        <w:rPr>
          <w:b w:val="1"/>
          <w:bCs w:val="1"/>
        </w:rPr>
        <w:t xml:space="preserve">հանրակրթության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ընդգրկելու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սահմանված</w:t>
      </w:r>
      <w:r>
        <w:rPr/>
        <w:t xml:space="preserve"> </w:t>
      </w:r>
      <w:r>
        <w:rPr>
          <w:b w:val="1"/>
          <w:bCs w:val="1"/>
        </w:rPr>
        <w:t xml:space="preserve">ժամկետից</w:t>
      </w:r>
      <w:r>
        <w:rPr/>
        <w:t xml:space="preserve"> </w:t>
      </w:r>
      <w:r>
        <w:rPr>
          <w:b w:val="1"/>
          <w:bCs w:val="1"/>
        </w:rPr>
        <w:t xml:space="preserve">ուշ</w:t>
      </w:r>
      <w:r>
        <w:rPr/>
        <w:t xml:space="preserve"> </w:t>
      </w:r>
      <w:r>
        <w:rPr>
          <w:b w:val="1"/>
          <w:bCs w:val="1"/>
        </w:rPr>
        <w:t xml:space="preserve">հանրակրթության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ընդգրկվող</w:t>
      </w:r>
      <w:r>
        <w:rPr/>
        <w:t xml:space="preserve"> </w:t>
      </w:r>
      <w:r>
        <w:rPr>
          <w:b w:val="1"/>
          <w:bCs w:val="1"/>
        </w:rPr>
        <w:t xml:space="preserve">երեխաների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կազմակերպման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հանրակրթական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հաստատությունից</w:t>
      </w:r>
      <w:r>
        <w:rPr/>
        <w:t xml:space="preserve"> </w:t>
      </w:r>
      <w:r>
        <w:rPr>
          <w:b w:val="1"/>
          <w:bCs w:val="1"/>
        </w:rPr>
        <w:t xml:space="preserve">սովորողին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</w:t>
      </w:r>
      <w:r>
        <w:rPr/>
        <w:t xml:space="preserve"> </w:t>
      </w:r>
      <w:r>
        <w:rPr>
          <w:b w:val="1"/>
          <w:bCs w:val="1"/>
        </w:rPr>
        <w:t xml:space="preserve">տեղափոխելու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ազատելու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գիտության</w:t>
      </w:r>
      <w:r>
        <w:rPr/>
        <w:t xml:space="preserve"> </w:t>
      </w:r>
      <w:r>
        <w:rPr>
          <w:b w:val="1"/>
          <w:bCs w:val="1"/>
        </w:rPr>
        <w:t xml:space="preserve">նախարարի</w:t>
      </w:r>
      <w:r>
        <w:rPr>
          <w:b w:val="1"/>
          <w:bCs w:val="1"/>
        </w:rPr>
        <w:t xml:space="preserve"> 2003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619-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, 2010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30-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հրամանները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N 1640-Ն հրամանի հավելվածի՝ 12-րդ կետը շարադրել հետևյալ խմբագրությամբ.</w:t>
      </w:r>
    </w:p>
    <w:p>
      <w:pPr/>
      <w:r>
        <w:rPr/>
        <w:t xml:space="preserve">    1) «12. Սովորողների ընդունելությունը կազմակերպելիս առաջնահերթություն տրվում է՝</w:t>
      </w:r>
    </w:p>
    <w:p>
      <w:pPr/>
      <w:r>
        <w:rPr/>
        <w:t xml:space="preserve">1) տվյալ դպրոցում սովորող քույր, եղբայր ունեցող երեխաներին.</w:t>
      </w:r>
    </w:p>
    <w:p>
      <w:pPr/>
      <w:r>
        <w:rPr/>
        <w:t xml:space="preserve">2) Հայաստանի Հանրապետության օրենսդրությամբ սահմանված՝ տվյալ դպրոցից մինչև տուն սպասարկման հետիոտնային հասանելիության շառավղով բնակվող՝ ընտանիքների անապահովության գնահատման համակարգում ընդգրկված ընտանիքների, խնամակալության տակ գտնվող, հաշմանդամություն ունեցող կամ հաշմանդամություն ունեցող ծնողների երեխաներին.</w:t>
      </w:r>
    </w:p>
    <w:p>
      <w:pPr/>
      <w:r>
        <w:rPr/>
        <w:t xml:space="preserve">3) տվյալ ոլորտային օրենսդրությանը համապատասխան` Հայաստանի Հանրապետության տարածքում ներքին գործուղման հետևանքով առնվազն 6 ամիս ժամկետով այլ բնակավայր տեղափոխված պետական համակարգի աշխատողների երեխաներին.</w:t>
      </w:r>
    </w:p>
    <w:p>
      <w:pPr/>
      <w:r>
        <w:rPr/>
        <w:t xml:space="preserve">4) տվյալ դպրոցի աշխատակիցների երեխաներին:»,</w:t>
      </w:r>
    </w:p>
    <w:p>
      <w:pPr/>
      <w:r>
        <w:rPr/>
        <w:t xml:space="preserve">2)  16-րդ կետում «6-րդ» թիվը փոխարինել «7-րդ» թվով,</w:t>
      </w:r>
    </w:p>
    <w:p>
      <w:pPr/>
      <w:r>
        <w:rPr/>
        <w:t xml:space="preserve">3) 17-րդ կետում «12-րդ կետում նշված ժամանակահատվածում» բառերը փոխարինել «13-րդ կետում նշված ժամանակահատվածում» բառերով: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Վ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ԴՈՒՄԱՆՅԱՆ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59F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82BE6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2026-04-03T20:08:11+04:00</dcterms:created>
  <dcterms:modified xsi:type="dcterms:W3CDTF">2026-04-03T20:08:11+04:00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