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«Հանրակրթական առարկաների դասագրքերի ստեղծման, հրատարակման և հանրակրթության պետական չափորոշչին դասագրքերի համապատասխանության գնահատման առարկայական հանձնաժողովների ձևավորման  կարգը սահմանելու մասին» Հայաստանի Հանրապետության կրթության, գիտության, մշակույթի և սպորտի նախարարի հրամանի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ՀԱՆՐԱԿՐԹԱԿԱՆ ԱՌԱՐԿԱՆԵՐԻ ԴԱՍԱԳՐՔԵՐԻ ՍՏԵՂԾՄԱՆ, ՀՐԱՏԱՐԱԿՄԱՆ ԵՎ ՀԱՆՐԱԿՐԹՈՒԹՅԱՆ ՊԵՏԱԿԱՆ ՉԱՓՈՐՈՇՉԻՆ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ԴԱՍԱԳՐՔԵՐԻ ՀԱՄԱՊԱՏԱՍԽԱՆՈՒԹՅԱՆ ԳՆԱՀԱՏՄԱՆ ԱՌԱՐԿԱՅԱԿԱՆ ՀԱՆՁՆԱԺՈՂՈՎՆԵՐԻ ՁԵՎԱՎՈՐՄԱՆ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ԿԱՐԳԸ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/>
      <w:r>
        <w:rPr/>
        <w:t xml:space="preserve">Ղեկավարվելով «Հանրակրթության մասին» օրենքի 30-րդ հոդվածի 1-ին մասի 26.2-րդ կետով՝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«Հանրակրթական առարկաների դասագրքերի ստեղծման, հրատարակման և Հանրակրթության պետական չափորոշչին դասագրքերի համապատասխանության գնահատման առարկայական հանձնաժողովների ձևավորման կարգը»՝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Վ. ԴՈՒՄԱՆՅԱՆ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կրթության, գիտության, մշակույթի և սպորտի նախարարի</w:t>
      </w:r>
    </w:p>
    <w:p>
      <w:pPr>
        <w:jc w:val="end"/>
      </w:pPr>
      <w:r>
        <w:rPr>
          <w:b w:val="1"/>
          <w:bCs w:val="1"/>
        </w:rPr>
        <w:t xml:space="preserve">2021 թվականի                              -ի  N            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հրամանի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ՀԱՆՐԱԿՐԹԱԿԱՆ ԱՌԱՐԿԱՆԵՐԻ ԴԱՍԱԳՐՔԵՐԻ ՍՏԵՂԾՄԱՆ, ՀՐԱՏԱՐԱԿՄԱՆ ԵՎ ՀԱՆՐԱԿՐԹՈՒԹՅԱՆ ՊԵՏԱԿԱՆ ՉԱՓՈՐՈՇՉԻՆ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ԴԱՍԱԳՐՔԵՐԻ ՀԱՄԱՊԱՏԱՍԽԱՆՈՒԹՅԱՆ ԳՆԱՀԱՏՄԱՆ ԱՌԱՐԿԱՅԱԿԱՆ ՀԱՆՁՆԱԺՈՂՈՎՆԵՐԻ ՁԵՎԱՎՈՐՄԱՆ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>
        <w:jc w:val="center"/>
      </w:pP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հանրակրթական առարկաների դասագրքերի ստեղծման, հրատարակման և Հանրակրթության պետական չափորոշչին դասագրքերի համապատասխանության գնահատման առարկայական հանձնաժողովների ձևավորման հետ կապված իրավահարաբերությունները: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 ՀԱՆՐԱԿՐԹԱԿԱՆ ԱՌԱՐԿԱՆԵՐԻ ԴԱՍԱԳՐՔԵՐԻ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Հանրակրթական առարկաների դասագրքերին ներկայացվող ընդհանրական պահանջներն են.</w:t>
      </w:r>
    </w:p>
    <w:p>
      <w:pPr/>
      <w:r>
        <w:rPr/>
        <w:t xml:space="preserve">1) դասագիրքը պետք է համապատասխանի Հանրակրթության պետական չափորոշչի, տվյալ առարկայի չափորոշչի և ծրագրի պահանջներին և ներկայացնի տվյալ առարկայի կամ դրա մի մասի հիմնական բովանդակությունը,</w:t>
      </w:r>
    </w:p>
    <w:p>
      <w:pPr/>
      <w:r>
        <w:rPr/>
        <w:t xml:space="preserve">2) դասագիրքը պետք է ներկայացնի միայն ստույգ, գիտականորեն հաստատված և ճշգրիտ տեղեկատվություն, վարկածների վերաբերյալ տեղեկատվության ընդգրկման պարագայում՝ հստակ նշում պարունակի այդ մասին, օգտագործի միայն գիտականորեն շրջանառվող վարկածներ,</w:t>
      </w:r>
    </w:p>
    <w:p>
      <w:pPr/>
      <w:r>
        <w:rPr/>
        <w:t xml:space="preserve">3) դասագրքում պետք է ապահովված լինեն պատշաճ հղումները (այդ թվում՝ էլեկտրոնային հասցեների հղումներ) օգտագործված բոլոր նյութերին և աղբյուրներին,</w:t>
      </w:r>
    </w:p>
    <w:p>
      <w:pPr/>
      <w:r>
        <w:rPr/>
        <w:t xml:space="preserve">4) դասագիրքը պետք է հնարավորություն ընձեռի բազմակողմանիորեն ծանոթանալու ներկայացվող նյութին կամ թեմային և նպաստի սովորողի  մոտ  դրա վերաբերյալ սեփական դիրքորոշման ու կարծիքի ձևավորմանը,</w:t>
      </w:r>
    </w:p>
    <w:p>
      <w:pPr/>
      <w:r>
        <w:rPr/>
        <w:t xml:space="preserve">5) դասագրքի շարադրանքի լեզուն պետք է համապատասխանի տվյալ տարիքային խմբի լեզվամտածողության առանձնահատկություններին՝ խուսափելով մասնագիտական և գիտական եզրույթների անհարկի գործածումից, երկարաշունչ նախադասություններից՝ կիրառելով հնարավորինս պարզ կառուցվածքով և հասկանալի բովանդակությամբ նախադասություններ,</w:t>
      </w:r>
    </w:p>
    <w:p>
      <w:pPr/>
      <w:r>
        <w:rPr/>
        <w:t xml:space="preserve">6) դասագրքում պետք է օգտագործվեն տեղեկատվության փոխանցման տարբեր եղանակներ՝ տեքստային, պատկերային, գրաֆիկական, թվային և այլ՝ փոխլրացման և համադրման սկզբունքով՝ խուսափելով կրկնություններից,</w:t>
      </w:r>
    </w:p>
    <w:p>
      <w:pPr/>
      <w:r>
        <w:rPr/>
        <w:t xml:space="preserve">7) դասագրքի կառուցվածքը պետք է համապատասխանի ներքոգրյալ մեթոդական պահանջներին․գլուխների և պարբերությունների դասավորում, ներքին ամբողջականություն, հստակություն, տրամաբանական հաջորդականություն, եզրակացությունների հակիրճություն, պարզություն, ներկայացման արտահայտչություն ու պատկերացումների, նկարազարդումների, ճշգրիտ և բազմազան հարցերի, պայմանների ու առաջադրանքների այնպիսի կառուցվածք, որը սովորողներից պահանջում է կատարել մտավոր գործողություններ, նշումներ, ուրվագծեր, գծանկարներ, հաշվարկներ, գործնական աշխատանք, փորձեր և այլն: </w:t>
      </w:r>
    </w:p>
    <w:p>
      <w:pPr>
        <w:numPr>
          <w:ilvl w:val="0"/>
          <w:numId w:val="5"/>
        </w:numPr>
      </w:pPr>
      <w:r>
        <w:rPr/>
        <w:t xml:space="preserve">Դասագրքի էջերը չպետք է գերազանցեն՝</w:t>
      </w:r>
    </w:p>
    <w:p>
      <w:pPr/>
      <w:r>
        <w:rPr/>
        <w:t xml:space="preserve">1) 176 էջը (11 մամուլ)՝ տարրական և միջին դասարաններում՝ հումանիտար և հասարակագիտական բնագավառների համար,</w:t>
      </w:r>
    </w:p>
    <w:p>
      <w:pPr/>
      <w:r>
        <w:rPr/>
        <w:t xml:space="preserve">2) 144 էջը (9 մամուլ)՝ տարրական և միջին դասարաններում՝ բնագիտության, տեխնոլոգիայի, ճարտարագիտության և մաթեմատիկայի բնագավառի համար,</w:t>
      </w:r>
    </w:p>
    <w:p>
      <w:pPr/>
      <w:r>
        <w:rPr/>
        <w:t xml:space="preserve">3) 192 էջը (12 մամուլ)՝ ավագ դասարաններում՝ հումանիտար և հասարակագիտական բնագավառների համար,</w:t>
      </w:r>
    </w:p>
    <w:p>
      <w:pPr/>
      <w:r>
        <w:rPr/>
        <w:t xml:space="preserve">4) 160 էջը (10 մամուլ)՝ ավագ դասարաններում՝ բնագիտության, տեխնոլոգիայի, ճարտարագիտության և մաթեմատիկայի բնագավառի համար։</w:t>
      </w:r>
    </w:p>
    <w:p>
      <w:pPr>
        <w:numPr>
          <w:ilvl w:val="0"/>
          <w:numId w:val="6"/>
        </w:numPr>
      </w:pPr>
      <w:r>
        <w:rPr/>
        <w:t xml:space="preserve">Դասագիրքը կարող է լինել թղթային, էլեկտրոնային կամ հիբրիդ (համակցված)։</w:t>
      </w:r>
    </w:p>
    <w:p>
      <w:pPr>
        <w:numPr>
          <w:ilvl w:val="0"/>
          <w:numId w:val="6"/>
        </w:numPr>
      </w:pPr>
      <w:r>
        <w:rPr/>
        <w:t xml:space="preserve">Թղթային դասագիրքը ունենում է իր թվայնացված տարբերակը, որը ձեռք է բերվում դասագրքի հետ միաժամանակ։</w:t>
      </w:r>
    </w:p>
    <w:p>
      <w:pPr>
        <w:numPr>
          <w:ilvl w:val="0"/>
          <w:numId w:val="6"/>
        </w:numPr>
      </w:pPr>
      <w:r>
        <w:rPr/>
        <w:t xml:space="preserve">Հիբրիդ դասագիրքը թղթային դասագիրքն է, որի մեջ ներառված է թվային բովանդակություն։</w:t>
      </w:r>
    </w:p>
    <w:p>
      <w:pPr>
        <w:numPr>
          <w:ilvl w:val="0"/>
          <w:numId w:val="6"/>
        </w:numPr>
      </w:pPr>
      <w:r>
        <w:rPr/>
        <w:t xml:space="preserve">Դասագրքերի օգտագործման նվազագույն ժամկետը (տվյալ առարկայի չափորոշչի և ծրագրի պահանջների անփոփոխ մնալու դեպքում)՝</w:t>
      </w:r>
    </w:p>
    <w:p>
      <w:pPr/>
      <w:r>
        <w:rPr/>
        <w:t xml:space="preserve">1) տարրական դասարաններում՝ առնվազն 3 տարի է,</w:t>
      </w:r>
    </w:p>
    <w:p>
      <w:pPr/>
      <w:r>
        <w:rPr/>
        <w:t xml:space="preserve">2) միջին և ավագ դասարաններում՝ առնվազն 5 տարի,</w:t>
      </w:r>
    </w:p>
    <w:p>
      <w:pPr/>
      <w:r>
        <w:rPr/>
        <w:t xml:space="preserve">3) էլեկտրոնային դասագրքերի գործածության ժամկետը՝ առնվազն 7 տարի է:</w:t>
      </w:r>
    </w:p>
    <w:p>
      <w:pPr>
        <w:numPr>
          <w:ilvl w:val="0"/>
          <w:numId w:val="7"/>
        </w:numPr>
      </w:pPr>
      <w:r>
        <w:rPr/>
        <w:t xml:space="preserve">Դասագրքերի օգտագործման ժամկետներն ամրագրվում են Հայաստանի Հանրապետության կրթության, գիտության, մշակույթի և սպորտի նախարարի հրամանով:</w:t>
      </w:r>
    </w:p>
    <w:p>
      <w:pPr>
        <w:numPr>
          <w:ilvl w:val="0"/>
          <w:numId w:val="7"/>
        </w:numPr>
      </w:pPr>
      <w:r>
        <w:rPr/>
        <w:t xml:space="preserve">Թղթային և էլեկտրոնային դասագրքերի վերարտադրության համար օգտագործվում են սովորողի ծնողի (նրա օրինական ներկայացուցչի) կղմից դասագրքերի օգտագործման համար ներդրված գումարները: Թղթային և էլեկտրոնային դասագրքերի համար ներդրումային գումարները տարբեր են։</w:t>
      </w:r>
    </w:p>
    <w:p>
      <w:pPr>
        <w:numPr>
          <w:ilvl w:val="0"/>
          <w:numId w:val="7"/>
        </w:numPr>
      </w:pPr>
      <w:r>
        <w:rPr/>
        <w:t xml:space="preserve">Սովորողը, ծնողի (նրա օրինական ներկայացուցչի) գրավոր համաձայնության դեպքում, կարող է հրաժարվել թղթային դասագրքերից և օգտվել էլեկտրոնային դասագրքերից:</w:t>
      </w:r>
      <w:br/>
      <w:r>
        <w:rPr/>
        <w:t xml:space="preserve"> </w:t>
      </w:r>
    </w:p>
    <w:p>
      <w:pPr>
        <w:jc w:val="center"/>
      </w:pPr>
      <w:r>
        <w:rPr>
          <w:b w:val="1"/>
          <w:bCs w:val="1"/>
        </w:rPr>
        <w:t xml:space="preserve">III. ՀԱՆՐԱԿՐԹԱԿԱՆ ԱՌԱՐԿԱՆԵՐԻ ԴԱՍԱԳՐՔԵՐԻ ՍՏԵՂԾՄԱՆ ԵՎ ՀՐԱՏԱՐԱԿՄԱՆ ԳՈՐԾԸՆԹԱՑՆԵՐԸ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/>
        <w:t xml:space="preserve">Հանրակրթական առարկաների դասագրքերի գնումն իրականացվում է՝</w:t>
      </w:r>
    </w:p>
    <w:p>
      <w:pPr/>
      <w:r>
        <w:rPr/>
        <w:t xml:space="preserve">1) Հայաստանի Հանրապետության պետական բյուջեի միջոցներով,</w:t>
      </w:r>
    </w:p>
    <w:p>
      <w:pPr/>
      <w:r>
        <w:rPr/>
        <w:t xml:space="preserve">2) հանրակրթական ծրագրեր իրականացնող ուսումնական հաստատությունների (այսուհետ՝ Հաստատություն)՝ առանձնացված բանկային հաշիվներում առկա ներդրումային գումարների միջոցներով,</w:t>
      </w:r>
    </w:p>
    <w:p>
      <w:pPr/>
      <w:r>
        <w:rPr/>
        <w:t xml:space="preserve">3) օրենքով չարգելված այլ միջոցներով:</w:t>
      </w:r>
    </w:p>
    <w:p>
      <w:pPr>
        <w:numPr>
          <w:ilvl w:val="0"/>
          <w:numId w:val="9"/>
        </w:numPr>
      </w:pPr>
      <w:r>
        <w:rPr/>
        <w:t xml:space="preserve">Դասագրքերի ստեղծումն ու հրատարակումն իրականացվում է մրցութային եղանակով։</w:t>
      </w:r>
    </w:p>
    <w:p>
      <w:pPr>
        <w:numPr>
          <w:ilvl w:val="0"/>
          <w:numId w:val="9"/>
        </w:numPr>
      </w:pPr>
      <w:r>
        <w:rPr/>
        <w:t xml:space="preserve">Դասագրքերի ստեղծման և հրատարակման համար անցկացվում են առանձին մրցույթներ։</w:t>
      </w:r>
    </w:p>
    <w:p>
      <w:pPr>
        <w:numPr>
          <w:ilvl w:val="0"/>
          <w:numId w:val="9"/>
        </w:numPr>
      </w:pPr>
      <w:r>
        <w:rPr/>
        <w:t xml:space="preserve">Դասագրքերի ստեղծման մրցույթին կարող են մասնակցել ինչպես իրավաբանական, այնպես էլ ֆիզիկական անձինք։</w:t>
      </w:r>
    </w:p>
    <w:p>
      <w:pPr>
        <w:numPr>
          <w:ilvl w:val="0"/>
          <w:numId w:val="9"/>
        </w:numPr>
      </w:pPr>
      <w:r>
        <w:rPr/>
        <w:t xml:space="preserve">Պետական բյուջեի միջոցներով ֆինանսավորվող դասագրքերի ստեղծման և հրատարակման մրցույթները կազմակերպում և անցկացնում է կրթության կառավարման պետական լիազոր մարմինը։ Հաստատությունների սովորողների ծնողների (նրանց օրինական ներկայացուցիչների) դասագրքերի համար ներդրումային գումարներով ֆինանսավորվող դասագրքերի ստեղծման և հրատարակման մրցույթները կազմակերպում և անցկացնում է ՀՀ կրթության, գիտության, մշակույթի և սպորտի նախարարության (այսուհետ՝ Նախարարություն) կողմից ձևավորված հանձնաժողովը, որում ընդգրկվում է Դասագրքերի և տեղեկատվական հաղորդակցման տեխնոլոգիաների շրջանառու հիմնադրամը (այսուհետ՝ ԴՏՀՏՇՀ):</w:t>
      </w:r>
    </w:p>
    <w:p>
      <w:pPr>
        <w:numPr>
          <w:ilvl w:val="0"/>
          <w:numId w:val="9"/>
        </w:numPr>
      </w:pPr>
      <w:r>
        <w:rPr/>
        <w:t xml:space="preserve">Դասագրքերի ստեղծման մրցույթի պարտադիր բաղադրիչն է մրցույթին ներկայացված հավակնորդ դասագրքերի փորձաքննությունը, որն իրականացվում է սույն կարգով ձևավորված հանրակրթության պետական չափորոշչին դասագրքերի համապատատասխանության գնահատման առարկայական հանձնաժողովների (այսուհետ՝ հանձնաժողովներ) կողմից։</w:t>
      </w:r>
    </w:p>
    <w:p>
      <w:pPr>
        <w:numPr>
          <w:ilvl w:val="0"/>
          <w:numId w:val="9"/>
        </w:numPr>
      </w:pPr>
      <w:r>
        <w:rPr/>
        <w:t xml:space="preserve">Դասագրքերի ստեղծման մրցույթի ընթացքում ներկայացված հավակնորդ դասագրքերի փորձաքննությունը իրականացվում է հետևյալ փուլերով՝</w:t>
      </w:r>
    </w:p>
    <w:p>
      <w:pPr/>
      <w:r>
        <w:rPr/>
        <w:t xml:space="preserve">1) </w:t>
      </w:r>
      <w:r>
        <w:rPr>
          <w:b w:val="1"/>
          <w:bCs w:val="1"/>
        </w:rPr>
        <w:t xml:space="preserve">համապատասխանության փու</w:t>
      </w:r>
      <w:r>
        <w:rPr>
          <w:b w:val="1"/>
          <w:bCs w:val="1"/>
        </w:rPr>
        <w:t xml:space="preserve">լ</w:t>
      </w:r>
      <w:r>
        <w:rPr/>
        <w:t xml:space="preserve">: Այս փուլում գնահատվում է ներկայացված հավակնորդ դասագրքում նյութի գիտական համապատասխանությունը՝ «</w:t>
      </w:r>
      <w:r>
        <w:rPr>
          <w:b w:val="1"/>
          <w:bCs w:val="1"/>
        </w:rPr>
        <w:t xml:space="preserve">ԱՅՈ՛, համապատասխանում է</w:t>
      </w:r>
      <w:r>
        <w:rPr/>
        <w:t xml:space="preserve">» և «</w:t>
      </w:r>
      <w:r>
        <w:rPr>
          <w:b w:val="1"/>
          <w:bCs w:val="1"/>
        </w:rPr>
        <w:t xml:space="preserve">Ո՛Չ, չի համապատասխանում</w:t>
      </w:r>
      <w:r>
        <w:rPr/>
        <w:t xml:space="preserve">» գնահատականներով։ Գիտական համապատասխանության վերաբերյալ եզրակացությունը ներկայացվում է հավակնորդ դասագիրքը ստեղծողի կողմից և իրենից ներկայացնում է առնվազն երկու մասնագիտական համապատասխան կառույցների կամ մասնագետների եզրակացություն՝ հավակնորդ դասագրքի գիտական համապատասխանության վերաբերյալ։ Գիտական համապատասխանության վերաբերյալ մասնագիտական եզրակացություն տված կառույցների և մասնագետների տվյալները ներառվում են դասագրքում։</w:t>
      </w:r>
    </w:p>
    <w:p>
      <w:pPr/>
      <w:r>
        <w:rPr/>
        <w:t xml:space="preserve">2) </w:t>
      </w:r>
      <w:r>
        <w:rPr>
          <w:b w:val="1"/>
          <w:bCs w:val="1"/>
        </w:rPr>
        <w:t xml:space="preserve">Բովանդակային գնահատման փուլ</w:t>
      </w:r>
      <w:r>
        <w:rPr/>
        <w:t xml:space="preserve">: Հանրակրթական առարկաների դասագրքերի ստեղծման մրցույթին ներկայացված հավակնորդ դասագրքերի բովանդակային գնահատումն իրականացվում է հանձնաժողովների կողմից՝ նախապես սահմանված բովանդակային չափանիշներին, դրանց համապատասխան բնութագրիչներին, մշակված գնահատման սանդղակին համապատասխան։ Հանձնաժողովների կողմից սահմանվում է դասագրքերի անցողիկ բովանդակային շեմ։ Բովանդակային շեմն անցած հավակնորդ դասագրքերն անցնում են փորձաքննության հաջորդ փուլ։</w:t>
      </w:r>
    </w:p>
    <w:p>
      <w:pPr/>
      <w:r>
        <w:rPr/>
        <w:t xml:space="preserve">3) </w:t>
      </w:r>
      <w:r>
        <w:rPr>
          <w:b w:val="1"/>
          <w:bCs w:val="1"/>
        </w:rPr>
        <w:t xml:space="preserve">Վարկանիշային գնահատման փուլ</w:t>
      </w:r>
      <w:r>
        <w:rPr/>
        <w:t xml:space="preserve">: Այս փուլում բովանդակային շեմն անցած հավակնորդ դասագրքերը ներկայացվում են ուսուցիչների վարկանիշային գնահատմանն առցանց եղանակով՝ հրապարակվելով ԴՏՀՏՇՀ-ի պաշտոնական կայքում։ Վարկանիշային գնահատման համար տրվում է 15 օր՝ հաշված հրապարակման օրվանից։ Վարկանիշային գնահատումն իրականացվում է 10 միավորանի սանդղակով։ 7 և ավելի միավոր վարկանիշային գնահատական ստացած հավակնորդ դասագրքերն ընդգրկվում են հանրակրթական առարկաների երաշխավորված դասագրքերի ցանկում։</w:t>
      </w:r>
    </w:p>
    <w:p>
      <w:pPr>
        <w:numPr>
          <w:ilvl w:val="0"/>
          <w:numId w:val="10"/>
        </w:numPr>
      </w:pPr>
      <w:r>
        <w:rPr/>
        <w:t xml:space="preserve">ԴՏՀՏՇՀ-ի պաշտոնական կայքում ստեղծվում է հանրակրթական առարկաների երաշխավորված դասագրքերի շտեմարան, որտեղ ներառված յուրաքանչյուր դասագրքի համար տեղադրվում է վերջինիս փորձաքննության մանրամասն տեղեկանքը՝ յուրաքանչյուր փուլի արդյունքներով։</w:t>
      </w:r>
    </w:p>
    <w:p>
      <w:pPr>
        <w:numPr>
          <w:ilvl w:val="0"/>
          <w:numId w:val="10"/>
        </w:numPr>
      </w:pPr>
      <w:r>
        <w:rPr/>
        <w:t xml:space="preserve">Յուրաքանչյուր տարի մինչև հունվարի 25-ը Հայաստանի Հանրապետության կրթության, գիտության, մշակույթի և սպորտի նախարարի (այսուհետ՝ Նախարար) կողմից հաստատվում են տվյալ ուսումնական տարվա համար գործածության երաշխավորված հանրակրթական առարկաների դասագրքերի ցանկը և դրանց գործածության ժամկետները:</w:t>
      </w:r>
    </w:p>
    <w:p>
      <w:pPr>
        <w:numPr>
          <w:ilvl w:val="0"/>
          <w:numId w:val="10"/>
        </w:numPr>
      </w:pPr>
      <w:r>
        <w:rPr/>
        <w:t xml:space="preserve">Հաստատությունների կողմից ներկայացված տեղեկատվության ամփոփման արդյունքներով ԴՏՀՏՇՀ-ի կառավարման ավտոմատացված համակարգում (այսուհետ՝ ԿԱՀ) ձևավորվում է գալիք ուսումնական տարվա համար դասագրքերի պատվերը (այսուհետ՝ պատվեր):</w:t>
      </w:r>
    </w:p>
    <w:p>
      <w:pPr>
        <w:numPr>
          <w:ilvl w:val="0"/>
          <w:numId w:val="10"/>
        </w:numPr>
      </w:pPr>
      <w:r>
        <w:rPr/>
        <w:t xml:space="preserve">Պատվերի հիման վրա՝ պետական բյուջեից ֆինանսավորման դեպքում՝ կրթության կառավարման պետական լիազոր մարմինը, և Հաստատությունների ներդրումային միջոցներից ֆինանսավորման դեպքում՝ ԴՏՀՏՇՀ-ն, կազմակերպում են Հաստատությունների կողմից ընտրված դասագրքերի հրատարակման մրցույթ։</w:t>
      </w:r>
    </w:p>
    <w:p>
      <w:pPr>
        <w:numPr>
          <w:ilvl w:val="0"/>
          <w:numId w:val="10"/>
        </w:numPr>
      </w:pPr>
      <w:r>
        <w:rPr/>
        <w:t xml:space="preserve">Դասագրքերի հրատարակման մրցույթն իրականացվում է Հայաստանի Հանրապետության «Գնումների մասին» օրենքին համապատասխան։</w:t>
      </w:r>
    </w:p>
    <w:p>
      <w:pPr>
        <w:numPr>
          <w:ilvl w:val="0"/>
          <w:numId w:val="10"/>
        </w:numPr>
      </w:pPr>
      <w:r>
        <w:rPr/>
        <w:t xml:space="preserve">Հանրակրթական ուսումնական առարկաների դասագրքեր կարող են ստեղծվել և հրատարակվել կրթության կառավարման պետական լիազոր մարմնի կողմից՝ պետական պատվերի շրջանակներում։ Պետական պատվերի պարագայում՝ հանրակրթական ուսումնական առարկաների դասագրքերը կարող են ստեղծվել ոչ մրցութային եղանակով՝ ուղիղ պատվերի միջոցով։</w:t>
      </w:r>
    </w:p>
    <w:p>
      <w:pPr>
        <w:jc w:val="center"/>
      </w:pPr>
      <w:r>
        <w:rPr>
          <w:b w:val="1"/>
          <w:bCs w:val="1"/>
        </w:rPr>
        <w:t xml:space="preserve">IV.ՀԱՆՐԱԿՐԹՈՒԹՅԱՆ ՊԵՏԱԿԱՆ ՉԱՓՈՐՈՇՉԻՆ ԴԱՍԱԳՐՔԵՐԻ ՀԱՄԱՊԱՏԱՍԽԱՆՈՒԹՅԱՆ ԳՆԱՀԱՏՄԱՆ ԱՌԱՐԿԱՅԱԿԱՆ ՀԱՆՁՆԱԺՈՂՈՎՆԵՐԻ ՁԵՎԱՎՈՐՈՒՄՆ ՈՒ ԳՈՐԾՈՒՆԵՈՒԹՅՈՒՆԸ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Հանձնաժողովների գործունեության նպատակն է հանրակրթական առարկաների դասագրքերի ստեղծման մրցույթին ներկայացված հավակնորդ դասագրքերի փորձաքննությունը (այսուհետ՝ փորձաքննություն)։</w:t>
      </w:r>
    </w:p>
    <w:p>
      <w:pPr>
        <w:numPr>
          <w:ilvl w:val="0"/>
          <w:numId w:val="11"/>
        </w:numPr>
      </w:pPr>
      <w:r>
        <w:rPr/>
        <w:t xml:space="preserve">Հանձնաժողովները ձևավորվում են հանձնաժողովների անդամների թեկնածուների՝ պաշտոնապես առաջադրված և համակարգչում զետեղված անվանացանկից։</w:t>
      </w:r>
    </w:p>
    <w:p>
      <w:pPr>
        <w:numPr>
          <w:ilvl w:val="0"/>
          <w:numId w:val="11"/>
        </w:numPr>
      </w:pPr>
      <w:r>
        <w:rPr/>
        <w:t xml:space="preserve">Նախարարության պաշտոնական կայքէջում հրապարակվում է հայտարարություն, որտեղ նշվում են այն պահանջները, որոնց պետք է բավարարի հանձնաժողովի անդամը:</w:t>
      </w:r>
    </w:p>
    <w:p>
      <w:pPr>
        <w:numPr>
          <w:ilvl w:val="0"/>
          <w:numId w:val="11"/>
        </w:numPr>
      </w:pPr>
      <w:r>
        <w:rPr/>
        <w:t xml:space="preserve">Հանձնաժողովի անդամության թեկնածուներ (այսուհետ` թեկնածուներ) առաջադրվում են Նախարարության, գիտական և գիտահետազոտական կազմակերպությունների, ուսումնական հաստատությունների, պետական կառավարման տարածքային մարմինների և Երևանի քաղաքապետարանի կողմից, ինչպես նաև անձնական նախաձեռնությամբ:</w:t>
      </w:r>
    </w:p>
    <w:p>
      <w:pPr>
        <w:numPr>
          <w:ilvl w:val="0"/>
          <w:numId w:val="11"/>
        </w:numPr>
      </w:pPr>
      <w:r>
        <w:rPr/>
        <w:t xml:space="preserve">Հանձնաժողովի անդամին առաջադրվող պարտադիր պահանջներն են`</w:t>
      </w:r>
    </w:p>
    <w:p>
      <w:pPr/>
      <w:r>
        <w:rPr/>
        <w:t xml:space="preserve">1)բարձրագույն մասնագիտական կրթություն (բակալավրի, մագիստրոսի, դիպլոմավորված մասնագետի կրթական աստիճանով),</w:t>
      </w:r>
    </w:p>
    <w:p>
      <w:pPr/>
      <w:r>
        <w:rPr/>
        <w:t xml:space="preserve">2)մասնագիտական աշխատանքի առնվազն 7 տարվա ստաժ:</w:t>
      </w:r>
    </w:p>
    <w:p>
      <w:pPr>
        <w:numPr>
          <w:ilvl w:val="0"/>
          <w:numId w:val="12"/>
        </w:numPr>
      </w:pPr>
      <w:r>
        <w:rPr/>
        <w:t xml:space="preserve">Հավասար պայմանների դեպքում նախապատվությունը տրվում է տարակարգ, կոչումներ, գիտական աստիճան, առավել երկար ստաժ ունեցող հավակնորդին:</w:t>
      </w:r>
    </w:p>
    <w:p>
      <w:pPr>
        <w:numPr>
          <w:ilvl w:val="0"/>
          <w:numId w:val="13"/>
        </w:numPr>
      </w:pPr>
      <w:r>
        <w:rPr/>
        <w:t xml:space="preserve">Թեկնածուն պետք է լրացնի անձնական թերթիկ, որտեղ պետք է ընդգրկվեն հետևյալ տվյալները.</w:t>
      </w:r>
    </w:p>
    <w:p>
      <w:pPr>
        <w:numPr>
          <w:ilvl w:val="0"/>
          <w:numId w:val="13"/>
        </w:numPr>
      </w:pPr>
      <w:r>
        <w:rPr/>
        <w:t xml:space="preserve">անունը, ազգանունը (հայրանունը), զբաղեցրած պաշտոնը, բնակության վայրը, հեռախոսահամարները` բնակարանային, աշխատանքային, բջջային, էլեկտրոնային փոստի հասցեն, կրթության, աշխատանքային ստաժի վերաբերյալ և այլ տվյալներ,</w:t>
      </w:r>
    </w:p>
    <w:p>
      <w:pPr>
        <w:numPr>
          <w:ilvl w:val="0"/>
          <w:numId w:val="13"/>
        </w:numPr>
      </w:pPr>
      <w:r>
        <w:rPr/>
        <w:t xml:space="preserve">այն առարկայի (առարկաների) անվանումը, որի դասագրքերի՝ հանրակրթության պետական չափորոշչին համապատասխանության գնահատման հանձնաժողովում թեկնածուն կարող է ընդգրկվել որպես հանձնաժողովի անդամ:</w:t>
      </w:r>
    </w:p>
    <w:p>
      <w:pPr>
        <w:numPr>
          <w:ilvl w:val="0"/>
          <w:numId w:val="14"/>
        </w:numPr>
      </w:pPr>
      <w:r>
        <w:rPr/>
        <w:t xml:space="preserve">Նախարարությունը իրականացնում է հանձնաժողովի անդամների թեկնածուների ընտրություն` ըստ հետևյալ մասնագիտական ուղղությունների՝</w:t>
      </w:r>
    </w:p>
    <w:p>
      <w:pPr/>
      <w:r>
        <w:rPr/>
        <w:t xml:space="preserve">1) տվյալ առարկայի դասավանդող ուսուցիչ,</w:t>
      </w:r>
    </w:p>
    <w:p>
      <w:pPr/>
      <w:r>
        <w:rPr/>
        <w:t xml:space="preserve">2) մանկավարժ-մեթոդիստ,</w:t>
      </w:r>
    </w:p>
    <w:p>
      <w:pPr/>
      <w:r>
        <w:rPr/>
        <w:t xml:space="preserve">3) մանկավարժ-հոգեբան,</w:t>
      </w:r>
    </w:p>
    <w:p>
      <w:pPr/>
      <w:r>
        <w:rPr/>
        <w:t xml:space="preserve">4) հայոց լեզվի մասնագետ,</w:t>
      </w:r>
    </w:p>
    <w:p>
      <w:pPr/>
      <w:r>
        <w:rPr/>
        <w:t xml:space="preserve">5) նկարիչ-ձևավորող,</w:t>
      </w:r>
    </w:p>
    <w:p>
      <w:pPr/>
      <w:r>
        <w:rPr/>
        <w:t xml:space="preserve">6) բժիշկ-հիգիենիստ։</w:t>
      </w:r>
    </w:p>
    <w:p>
      <w:pPr/>
      <w:r>
        <w:rPr/>
        <w:t xml:space="preserve">Յուրաքանչյուր մասնագիտական ուղղությունից ընտրվում է մինչև 5 թեկնածու՝ յուրաքանչյուր առարկայի համար։</w:t>
      </w:r>
    </w:p>
    <w:p>
      <w:pPr>
        <w:numPr>
          <w:ilvl w:val="0"/>
          <w:numId w:val="15"/>
        </w:numPr>
      </w:pPr>
      <w:r>
        <w:rPr/>
        <w:t xml:space="preserve">Թեկնածուների ամբողջական անվանացանկը կարող է համալրվել և փոփոխվել դասագրքերի ստեղծման մրցույթի վերաբերյալ հայտարարություն տալու օրվանից առնվազն 6 ամիս առաջ:</w:t>
      </w:r>
    </w:p>
    <w:p>
      <w:pPr>
        <w:numPr>
          <w:ilvl w:val="0"/>
          <w:numId w:val="15"/>
        </w:numPr>
      </w:pPr>
      <w:r>
        <w:rPr/>
        <w:t xml:space="preserve">Թեկնածուն չի կարող լինել հանձնաժողովի անդամ, եթե հանդիսանում է դասագրքերի ստեղծման մրցույթին ներկայացված հավակնորդ դասագրքի հեղինակ, համահեղինակ, խմբագիր, խորհրդատու, թարգմանիչ կամ որևէ այլ ուղղակի ձևով մասնակից է հավակնորդ դասագրքի ստեղծմանը:</w:t>
      </w:r>
    </w:p>
    <w:p>
      <w:pPr>
        <w:numPr>
          <w:ilvl w:val="0"/>
          <w:numId w:val="15"/>
        </w:numPr>
      </w:pPr>
      <w:r>
        <w:rPr/>
        <w:t xml:space="preserve">Հանձնաժողովի բոլոր անդամները գրավոր ներկայացնում են հայտարարություն` սույն կարգի 28-րդ կետի պահանջներին բավարարելու մասին:</w:t>
      </w:r>
    </w:p>
    <w:p>
      <w:pPr>
        <w:numPr>
          <w:ilvl w:val="0"/>
          <w:numId w:val="15"/>
        </w:numPr>
      </w:pPr>
      <w:r>
        <w:rPr/>
        <w:t xml:space="preserve">Թեկնածուները Նախարարության միջոցով գրավոր տեղեկացվում են թեկնածուների ցուցակում ընդգրկված լինելու մասին` նախքան ցուցակի համակարգչում զետեղելը:</w:t>
      </w:r>
    </w:p>
    <w:p>
      <w:pPr>
        <w:numPr>
          <w:ilvl w:val="0"/>
          <w:numId w:val="16"/>
        </w:numPr>
      </w:pPr>
      <w:r>
        <w:rPr/>
        <w:t xml:space="preserve">Հանձնաժողովը կազմվում է համակարգչի կողմից պատահական ընտրված 5 թեկնածուներից` մրցույթն անցկացնելուց 2 աշխատանքային օր առաջ:</w:t>
      </w:r>
    </w:p>
    <w:p>
      <w:pPr>
        <w:numPr>
          <w:ilvl w:val="0"/>
          <w:numId w:val="17"/>
        </w:numPr>
      </w:pPr>
      <w:r>
        <w:rPr/>
        <w:t xml:space="preserve">Եթե համակարգչի միջոցով ընտրված թեկնածուի (թեկնածուների)՝ հանձնաժողովի կազմում ընդգրկվելը (ժամանակավոր անաշխատունակության, բացակայության, 33-րդ կետով սահմանված և այլ պատճառներով) անհնարին է, ապա համակարգչի միջոցով ընտրվում է այլ թեկնածու:</w:t>
      </w:r>
    </w:p>
    <w:p>
      <w:pPr>
        <w:numPr>
          <w:ilvl w:val="0"/>
          <w:numId w:val="18"/>
        </w:numPr>
      </w:pPr>
      <w:r>
        <w:rPr/>
        <w:t xml:space="preserve">Հանձնաժողովի կազմում ընտրված անդամները, Նախարարության կողմից տեղեկացվում են հանձնաժողովի աշխատանքների կազմակերպման օրվա, ժամի և վայրի մասին` հանձնաժողովի կազմավորումից հետո՝ 24 ժամվա ընթացքում:</w:t>
      </w:r>
    </w:p>
    <w:p>
      <w:pPr>
        <w:numPr>
          <w:ilvl w:val="0"/>
          <w:numId w:val="18"/>
        </w:numPr>
      </w:pPr>
      <w:r>
        <w:rPr/>
        <w:t xml:space="preserve">Հանձնաժողովի կազմը հաստատվում է Նախարարի հրամանով, որով սահմանվում են նաև աշխատանքների կազմակերպման և դասագրքերի գնահատման պայմանները:</w:t>
      </w:r>
    </w:p>
    <w:p>
      <w:pPr>
        <w:numPr>
          <w:ilvl w:val="0"/>
          <w:numId w:val="18"/>
        </w:numPr>
      </w:pPr>
      <w:r>
        <w:rPr/>
        <w:t xml:space="preserve">Եթե գնահատման աշխատանքների ընթացքում հանձնաժողովի որևէ անդամի մասնակցությունը հանձնաժողովի հետագա աշխատանքներին դառնում է անհնար, ապա հանձնաժողովի կազմը համալրվում է սույն կարգի 37-րդ կետում նկարագրված սկզբունքով:</w:t>
      </w:r>
    </w:p>
    <w:p>
      <w:pPr>
        <w:numPr>
          <w:ilvl w:val="0"/>
          <w:numId w:val="19"/>
        </w:numPr>
      </w:pPr>
      <w:r>
        <w:rPr/>
        <w:t xml:space="preserve">Հանձնաժողովն իր լիազորություններն իրականացնում է սահմանված կարգով կազմը հաստատվելու պահից: Հանձնաժողովի լիազորությունները դադարեցվում են գնահատման արդյունքները ներկայացնելուց հետո: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CD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AF1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7E5B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18C8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D9902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C4822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0DF4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F096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87CA3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F2EA2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7C62FB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E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891A4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26BF2A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B7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B096CC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CF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6ABCDA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2026-03-31T18:03:18+04:00</dcterms:created>
  <dcterms:modified xsi:type="dcterms:W3CDTF">2026-03-31T18:03:18+04:00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