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դեկտեմբերի 5-ի N 1753-Լ որոշման մեջ 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                 «-------» «--------------- »  2021 թվականի  N    - Լ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ԿԱՌԱՎԱՐՈՒԹՅԱՆ 2019 ԹՎԱԿԱՆԻ ԴԵԿՏԵՄԲԵՐԻ 5-Ի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 1753-Լ ՈՐՈՇՄԱՆ ՄԵՋ  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 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>
        <w:jc w:val="both"/>
      </w:pPr>
      <w:r>
        <w:rPr/>
        <w:t xml:space="preserve">Հիմք ընդունելով Հայաստանի Հանրապետության Սահմանադրության 146-րդ հոդվածի 2-րդ և 4-րդ մասերի, «Նորմատիվ իրավական ակտերի մասին» Հայաստանի Հանրապետության օրենքի 33-րդ և 34-րդ հոդվածների պահանջները՝ Հայաստանի Հանրապետության կառավարությունը </w:t>
      </w:r>
      <w:r>
        <w:rPr>
          <w:b w:val="1"/>
          <w:bCs w:val="1"/>
        </w:rPr>
        <w:t xml:space="preserve">ո ր ո շ ու մ 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դեկտեմբերի 5-ի «Աշխատիր, Հայաստան» ռազմավարությունը, դրա գործողությունների շրջանակը և ֆինանսական գնահատականը հաստատելու մասին» N 1753-Լ որոշման մեջ կատարել հետևյալ փոփոխությունները՝</w:t>
      </w:r>
    </w:p>
    <w:p>
      <w:pPr/>
      <w:r>
        <w:rPr/>
        <w:t xml:space="preserve">1)  N 1 հավելվածում`</w:t>
      </w:r>
    </w:p>
    <w:p>
      <w:pPr/>
      <w:r>
        <w:rPr/>
        <w:t xml:space="preserve">ա. «</w:t>
      </w:r>
      <w:r>
        <w:rPr>
          <w:b w:val="1"/>
          <w:bCs w:val="1"/>
        </w:rPr>
        <w:t xml:space="preserve">ՆՊԱՏԱԿ 3.» </w:t>
      </w:r>
      <w:r>
        <w:rPr/>
        <w:t xml:space="preserve">բաժնի «</w:t>
      </w:r>
      <w:r>
        <w:rPr>
          <w:b w:val="1"/>
          <w:bCs w:val="1"/>
        </w:rPr>
        <w:t xml:space="preserve">Խնդիր 3.</w:t>
      </w:r>
      <w:r>
        <w:rPr/>
        <w:t xml:space="preserve">» ենթաբաժնի «</w:t>
      </w:r>
      <w:r>
        <w:rPr>
          <w:b w:val="1"/>
          <w:bCs w:val="1"/>
        </w:rPr>
        <w:t xml:space="preserve">Գործողություն 3.3.</w:t>
      </w:r>
      <w:r>
        <w:rPr/>
        <w:t xml:space="preserve">»-ը և «</w:t>
      </w:r>
      <w:r>
        <w:rPr>
          <w:b w:val="1"/>
          <w:bCs w:val="1"/>
        </w:rPr>
        <w:t xml:space="preserve">Գործողություն 3.4.</w:t>
      </w:r>
      <w:r>
        <w:rPr/>
        <w:t xml:space="preserve">»-ն ուժը կորցրած ճանաչել,</w:t>
      </w:r>
    </w:p>
    <w:p>
      <w:pPr/>
      <w:r>
        <w:rPr/>
        <w:t xml:space="preserve">բ.  «</w:t>
      </w:r>
      <w:r>
        <w:rPr>
          <w:b w:val="1"/>
          <w:bCs w:val="1"/>
        </w:rPr>
        <w:t xml:space="preserve">ՆՊԱՏԱԿ 4.» </w:t>
      </w:r>
      <w:r>
        <w:rPr/>
        <w:t xml:space="preserve">բաժնի «</w:t>
      </w:r>
      <w:r>
        <w:rPr>
          <w:b w:val="1"/>
          <w:bCs w:val="1"/>
        </w:rPr>
        <w:t xml:space="preserve">Խնդիր 1.</w:t>
      </w:r>
      <w:r>
        <w:rPr/>
        <w:t xml:space="preserve">» ենթաբաժնի «</w:t>
      </w:r>
      <w:r>
        <w:rPr>
          <w:b w:val="1"/>
          <w:bCs w:val="1"/>
        </w:rPr>
        <w:t xml:space="preserve">Գործողություն 1.2.</w:t>
      </w:r>
      <w:r>
        <w:rPr/>
        <w:t xml:space="preserve">»-ը շարադրել հետևյալ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Գործողություն 1.2. Աշխատանքային օրենսգրքի վերանայում, փոփոխությունների ներկայացում և ընդունում</w:t>
      </w:r>
      <w:r>
        <w:rPr/>
        <w:t xml:space="preserve">»,</w:t>
      </w:r>
    </w:p>
    <w:p>
      <w:pPr/>
      <w:r>
        <w:rPr/>
        <w:t xml:space="preserve">գ. «</w:t>
      </w:r>
      <w:r>
        <w:rPr>
          <w:b w:val="1"/>
          <w:bCs w:val="1"/>
        </w:rPr>
        <w:t xml:space="preserve">ՆՊԱՏԱԿ 4.» </w:t>
      </w:r>
      <w:r>
        <w:rPr/>
        <w:t xml:space="preserve">բաժնի «</w:t>
      </w:r>
      <w:r>
        <w:rPr>
          <w:b w:val="1"/>
          <w:bCs w:val="1"/>
        </w:rPr>
        <w:t xml:space="preserve">Խնդիր 2.</w:t>
      </w:r>
      <w:r>
        <w:rPr/>
        <w:t xml:space="preserve">» ենթաբաժնի «</w:t>
      </w:r>
      <w:r>
        <w:rPr>
          <w:b w:val="1"/>
          <w:bCs w:val="1"/>
        </w:rPr>
        <w:t xml:space="preserve">Գործողություն 2.2.</w:t>
      </w:r>
      <w:r>
        <w:rPr/>
        <w:t xml:space="preserve">»-ը շարադրել հետևյալ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Գործողություն 2.2. Արհեստակցական միությունների մասին» Հայաստանի Հանրապետության օրենքում փոփոխությունների և լրացումների մշակում և ընդունում</w:t>
      </w:r>
      <w:r>
        <w:rPr/>
        <w:t xml:space="preserve">».</w:t>
      </w:r>
    </w:p>
    <w:p>
      <w:pPr/>
      <w:r>
        <w:rPr/>
        <w:t xml:space="preserve">2) N 2 հավելվածում՝</w:t>
      </w:r>
    </w:p>
    <w:p>
      <w:pPr/>
      <w:r>
        <w:rPr/>
        <w:t xml:space="preserve">ա. «</w:t>
      </w:r>
      <w:r>
        <w:rPr>
          <w:b w:val="1"/>
          <w:bCs w:val="1"/>
        </w:rPr>
        <w:t xml:space="preserve">ՆՊԱՏԱԿ 3.» </w:t>
      </w:r>
      <w:r>
        <w:rPr/>
        <w:t xml:space="preserve">բաժնի «</w:t>
      </w:r>
      <w:r>
        <w:rPr>
          <w:b w:val="1"/>
          <w:bCs w:val="1"/>
        </w:rPr>
        <w:t xml:space="preserve">Խնդիր 3.</w:t>
      </w:r>
      <w:r>
        <w:rPr/>
        <w:t xml:space="preserve">» ենթաբաժնի «</w:t>
      </w:r>
      <w:r>
        <w:rPr>
          <w:b w:val="1"/>
          <w:bCs w:val="1"/>
        </w:rPr>
        <w:t xml:space="preserve">Գործողություն 3.3.</w:t>
      </w:r>
      <w:r>
        <w:rPr/>
        <w:t xml:space="preserve">» և «</w:t>
      </w:r>
      <w:r>
        <w:rPr>
          <w:b w:val="1"/>
          <w:bCs w:val="1"/>
        </w:rPr>
        <w:t xml:space="preserve">Գործողություն 3.4.</w:t>
      </w:r>
      <w:r>
        <w:rPr/>
        <w:t xml:space="preserve">» տողերն ուժը կորցրած ճանաչել,</w:t>
      </w:r>
    </w:p>
    <w:p>
      <w:pPr/>
      <w:r>
        <w:rPr/>
        <w:t xml:space="preserve">բ. «</w:t>
      </w:r>
      <w:r>
        <w:rPr>
          <w:b w:val="1"/>
          <w:bCs w:val="1"/>
        </w:rPr>
        <w:t xml:space="preserve">ՆՊԱՏԱԿ 4.» </w:t>
      </w:r>
      <w:r>
        <w:rPr/>
        <w:t xml:space="preserve">բաժնի «</w:t>
      </w:r>
      <w:r>
        <w:rPr>
          <w:b w:val="1"/>
          <w:bCs w:val="1"/>
        </w:rPr>
        <w:t xml:space="preserve">Խնդիր 1.» </w:t>
      </w:r>
      <w:r>
        <w:rPr/>
        <w:t xml:space="preserve">ենթաբաժնի «</w:t>
      </w:r>
      <w:r>
        <w:rPr>
          <w:b w:val="1"/>
          <w:bCs w:val="1"/>
        </w:rPr>
        <w:t xml:space="preserve">Ժամկետ</w:t>
      </w:r>
      <w:r>
        <w:rPr/>
        <w:t xml:space="preserve">» սյունակում «2021» թիվը փոխարինել «2022» թվով.</w:t>
      </w:r>
    </w:p>
    <w:p>
      <w:pPr/>
      <w:r>
        <w:rPr/>
        <w:t xml:space="preserve">գ. «</w:t>
      </w:r>
      <w:r>
        <w:rPr>
          <w:b w:val="1"/>
          <w:bCs w:val="1"/>
        </w:rPr>
        <w:t xml:space="preserve">ՆՊԱՏԱԿ 4.» </w:t>
      </w:r>
      <w:r>
        <w:rPr/>
        <w:t xml:space="preserve">բաժնի «</w:t>
      </w:r>
      <w:r>
        <w:rPr>
          <w:b w:val="1"/>
          <w:bCs w:val="1"/>
        </w:rPr>
        <w:t xml:space="preserve">Խնդիր 1.» </w:t>
      </w:r>
      <w:r>
        <w:rPr/>
        <w:t xml:space="preserve">ենթաբաժնի «</w:t>
      </w:r>
      <w:r>
        <w:rPr>
          <w:b w:val="1"/>
          <w:bCs w:val="1"/>
        </w:rPr>
        <w:t xml:space="preserve">Գործողություն 1.2.»</w:t>
      </w:r>
      <w:r>
        <w:rPr/>
        <w:t xml:space="preserve"> տողը շարադրել հետևյալ խմբագրությամբ՝</w:t>
      </w:r>
    </w:p>
    <w:tbl>
      <w:tblGrid>
        <w:gridCol w:w="2235" w:type="dxa"/>
        <w:gridCol w:w="2235" w:type="dxa"/>
        <w:gridCol w:w="2115" w:type="dxa"/>
        <w:gridCol w:w="360" w:type="dxa"/>
        <w:gridCol w:w="1470" w:type="dxa"/>
        <w:gridCol w:w="1770" w:type="dxa"/>
        <w:gridCol w:w="720" w:type="dxa"/>
        <w:gridCol w:w="285" w:type="dxa"/>
        <w:gridCol w:w="1725" w:type="dxa"/>
      </w:tblGrid>
      <w:tblPr>
        <w:tblW w:w="0" w:type="dxa"/>
        <w:tblLayout w:type="autofit"/>
      </w:tblPr>
      <w:tr>
        <w:trPr/>
        <w:tc>
          <w:tcPr>
            <w:tcW w:w="2235" w:type="dxa"/>
            <w:noWrap/>
          </w:tcPr>
          <w:p>
            <w:pPr/>
            <w:r>
              <w:rPr>
                <w:b w:val="1"/>
                <w:bCs w:val="1"/>
              </w:rPr>
              <w:t xml:space="preserve">Գործողություն 1.2.</w:t>
            </w:r>
            <w:r>
              <w:rPr/>
              <w:t xml:space="preserve"> Աշխատանքային օրենսգրքի  վերանայում, փոփոխությունների ներկայացում  և ընդունում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Աշխատանքային օրենսգրքում փոփոխությունները սահմանված են համապատասխան իրավական ակտով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Փոփոխություններ և լրացումներ նախատեսող օրենքի առկայություն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1 հատ փոփոխված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ՀՀ պաշտոնական տեղեկագիր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2022 թ.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ՀՀ ԱՍՀՆ</w:t>
            </w:r>
            <w:br/>
            <w:r>
              <w:rPr/>
              <w:t xml:space="preserve"> Զարգացման գործընկերներ</w:t>
            </w:r>
          </w:p>
        </w:tc>
      </w:tr>
    </w:tbl>
    <w:p>
      <w:pPr/>
      <w:r>
        <w:rPr/>
        <w:t xml:space="preserve">          դ. «</w:t>
      </w:r>
      <w:r>
        <w:rPr>
          <w:b w:val="1"/>
          <w:bCs w:val="1"/>
        </w:rPr>
        <w:t xml:space="preserve">ՆՊԱՏԱԿ 4.» </w:t>
      </w:r>
      <w:r>
        <w:rPr/>
        <w:t xml:space="preserve">բաժնի «</w:t>
      </w:r>
      <w:r>
        <w:rPr>
          <w:b w:val="1"/>
          <w:bCs w:val="1"/>
        </w:rPr>
        <w:t xml:space="preserve">Խնդիր 2.» </w:t>
      </w:r>
      <w:r>
        <w:rPr/>
        <w:t xml:space="preserve">ենթաբաժնի «</w:t>
      </w:r>
      <w:r>
        <w:rPr>
          <w:b w:val="1"/>
          <w:bCs w:val="1"/>
        </w:rPr>
        <w:t xml:space="preserve">Գործողություն 2.2.»</w:t>
      </w:r>
      <w:r>
        <w:rPr/>
        <w:t xml:space="preserve"> տողը շարադրել հետևյալ խմբագրությամբ՝</w:t>
      </w:r>
    </w:p>
    <w:tbl>
      <w:tblGrid>
        <w:gridCol w:w="2250" w:type="dxa"/>
        <w:gridCol w:w="2250" w:type="dxa"/>
        <w:gridCol w:w="1605" w:type="dxa"/>
        <w:gridCol w:w="1560" w:type="dxa"/>
        <w:gridCol w:w="1230" w:type="dxa"/>
        <w:gridCol w:w="975" w:type="dxa"/>
        <w:gridCol w:w="720" w:type="dxa"/>
        <w:gridCol w:w="285" w:type="dxa"/>
        <w:gridCol w:w="2115" w:type="dxa"/>
      </w:tblGrid>
      <w:tblPr>
        <w:tblW w:w="0" w:type="dxa"/>
        <w:tblLayout w:type="autofit"/>
      </w:tblPr>
      <w:tr>
        <w:trPr/>
        <w:tc>
          <w:tcPr>
            <w:tcW w:w="2250" w:type="dxa"/>
            <w:noWrap/>
          </w:tcPr>
          <w:p>
            <w:pPr/>
            <w:r>
              <w:rPr>
                <w:b w:val="1"/>
                <w:bCs w:val="1"/>
              </w:rPr>
              <w:t xml:space="preserve">Գործողություն 2.2.</w:t>
            </w:r>
            <w:r>
              <w:rPr/>
              <w:t xml:space="preserve"> «Արհեստակցական միությունների մասին» Հայաստանի Հանրապետության օրենքում փոփոխությունների և լրացումների մշակում և ընդունում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Գործում է արհմիությունների զարգացումը խթանող՝ «Արհեստակցական միությունների մասին» փոփոխված օրենքը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Փոփոխված օրենքի առկայություն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Օրենքը լրամշակված է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Օրենքն ընդունվել է Ազգային ժողովի կողմից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arlis.am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2023 թ.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ՀՀ ԱՍՀՆ</w:t>
            </w:r>
            <w:br/>
            <w:r>
              <w:rPr/>
              <w:t xml:space="preserve"> Զարգացման գործընկերներ</w:t>
            </w:r>
            <w:br/>
            <w:r>
              <w:rPr/>
              <w:t xml:space="preserve"> Հայաստանի արհմիությունների կոնֆեդերացիա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3) N 3 հավելվածում՝</w:t>
      </w:r>
    </w:p>
    <w:p>
      <w:pPr>
        <w:jc w:val="both"/>
      </w:pPr>
      <w:r>
        <w:rPr/>
        <w:t xml:space="preserve">ա. 32-րդ տողի «</w:t>
      </w:r>
      <w:r>
        <w:rPr>
          <w:b w:val="1"/>
          <w:bCs w:val="1"/>
        </w:rPr>
        <w:t xml:space="preserve">Գործողության անվանումը</w:t>
      </w:r>
      <w:r>
        <w:rPr/>
        <w:t xml:space="preserve">» սյունակը շարադրել հետևյալ խմբագրությամբ.</w:t>
      </w:r>
    </w:p>
    <w:p>
      <w:pPr>
        <w:jc w:val="both"/>
      </w:pPr>
      <w:r>
        <w:rPr/>
        <w:t xml:space="preserve">«Աշխատանքային օրենսգրքի վերանայում, փոփոխությունների ներկայացում և ընդունում»,</w:t>
      </w:r>
    </w:p>
    <w:p>
      <w:pPr>
        <w:jc w:val="both"/>
      </w:pPr>
      <w:r>
        <w:rPr/>
        <w:t xml:space="preserve">բ. 36-րդ և 37-րդ տողերն ուժը կորցրած ճանաչել,</w:t>
      </w:r>
    </w:p>
    <w:p>
      <w:pPr>
        <w:jc w:val="both"/>
      </w:pPr>
      <w:r>
        <w:rPr/>
        <w:t xml:space="preserve">գ. 39-րդ տողի «</w:t>
      </w:r>
      <w:r>
        <w:rPr>
          <w:b w:val="1"/>
          <w:bCs w:val="1"/>
        </w:rPr>
        <w:t xml:space="preserve">Գործողության անվանումը</w:t>
      </w:r>
      <w:r>
        <w:rPr/>
        <w:t xml:space="preserve">» սյունակը շարադրել հետևյալ խմբագրությամբ.</w:t>
      </w:r>
    </w:p>
    <w:p>
      <w:pPr>
        <w:jc w:val="both"/>
      </w:pPr>
      <w:r>
        <w:rPr/>
        <w:t xml:space="preserve">«Արհեստակցական միությունների մասին» Հայաստանի Հանրապետության օրենքում փոփոխությունների և լրացումների մշակում և ընդունում»։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A99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2026-04-01T10:43:39+04:00</dcterms:created>
  <dcterms:modified xsi:type="dcterms:W3CDTF">2026-04-01T10:43:39+04:00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