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ՏՐԱՆՍՊՈՐՏԱՅԻՆ ՄԻՋՈՑՆԵՐԻ ՊԱՐՏԱԴԻՐ ՏԵԽՆԻԿԱԿԱՆ ԶՆՆՈՒԹՅԱՆ ԱՆՑԿԱՑՄԱՆ ԿԱՐԳԸ ՀԱՍՏԱՏԵԼՈՒ ԵՎ ՀԱՅԱՍՏԱՆԻ ՀԱՆՐԱՊԵՏՈՒԹՅԱՆ ԿԱՌԱՎԱՐՈՒԹՅԱՆ 2007 ԹՎԱԿԱՆԻ ՓԵՏՐՎԱՐԻ 15-Ի N 344-Ն, ՀԱՅԱՍՏԱՆԻ ՀԱՆՐԱՊԵՏՈՒԹՅԱՆ ԿԱՌԱՎԱՐՈՒԹՅԱՆ 2007 ԹՎԱԿԱՆԻ ՓԵՏՐՎԱՐԻ 15-Ի N 346-Ն, ՀԱՅԱՍՏԱՆԻ ՀԱՆՐԱՊԵՏՈՒԹՅԱՆ ԿԱՌԱՎԱՐՈՒԹՅԱՆ 2007 ԹՎԱԿԱՆԻ ԱՊՐԻԼԻ 5-Ի N 401-Ն ՈՒ ՀԱՅԱՍՏԱՆԻ ՀԱՆՐԱՊԵՏՈՒԹՅԱՆ ԿԱՌԱՎԱՐՈՒԹՅԱՆ 2011 ԹՎԱԿԱՆԻ ՄԱՐՏԻ 31-Ի N 350-Ն ՈՐՈՇՈՒՄՆԵՐԸ ՈՒԺԸ ԿՈՐՑՐԱԾ ՃԱՆԱՉԵԼՈՒ ՄԱՍԻՆ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 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 2021 թվականի N ____ - Ն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ՏՐԱՆՍՊՈՐՏԱՅԻՆ ՄԻՋՈՑՆԵՐԻ ՊԱՐՏԱԴԻՐ ՏԵԽՆԻԿԱԿԱՆ ԶՆՆՈՒԹՅԱՆ ԱՆՑԿԱՑՄԱՆ ԿԱՐԳԸ ՀԱՍՏԱՏԵԼՈՒ ԵՎ ՀԱՅԱՍՏԱՆԻ ՀԱՆՐԱՊԵՏՈՒԹՅԱՆ ԿԱՌԱՎԱՐՈՒԹՅԱՆ 2007 ԹՎԱԿԱՆԻ ՓԵՏՐՎԱՐԻ 15-Ի N 344-Ն, ՀԱՅԱՍՏԱՆԻ ՀԱՆՐԱՊԵՏՈՒԹՅԱՆ ԿԱՌԱՎԱՐՈՒԹՅԱՆ 2007 ԹՎԱԿԱՆԻ ՓԵՏՐՎԱՐԻ 15-Ի N 346-Ն, ՀԱՅԱՍՏԱՆԻ ՀԱՆՐԱՊԵՏՈՒԹՅԱՆ ԿԱՌԱՎԱՐՈՒԹՅԱՆ 2007 ԹՎԱԿԱՆԻ ԱՊՐԻԼԻ 5-Ի N 401-Ն ՈՒ ՀԱՅԱՍՏԱՆԻ ՀԱՆՐԱՊԵՏՈՒԹՅԱՆ ԿԱՌԱՎԱՐՈՒԹՅԱՆ 2011 ԹՎԱԿԱՆԻ ՄԱՐՏԻ 31-Ի N 350-Ն ՈՐՈՇՈՒՄՆԵՐԸ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 Ղեկավարվելով «Ճանապարհային երթևեկության անվտանգության ապահովման մասին» Հայաստանի Հանրապետության օրենքի 9-րդ հոդվածի «է)» կետով և 15-րդ հոդվածով և «Նորմատիվ իրավական ակտերի մասին» Հայաստանի Հանրապետության օրենքի 37-րդ հոդվածի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Հանրապետությունում տրանսպորտային միջոցների պարտադիր տեխնիկական զննության անցկացման կարգը՝ համաձայն հավելվածի.</w:t>
      </w:r>
    </w:p>
    <w:p>
      <w:pPr>
        <w:numPr>
          <w:ilvl w:val="0"/>
          <w:numId w:val="2"/>
        </w:numPr>
      </w:pPr>
      <w:r>
        <w:rPr/>
        <w:t xml:space="preserve">ՈՒժը կորցրած ճանաչել՝ Հայաստանի Հանրապետության կառավարության 2007 թվականի փետրվարի 15-ի «Հայաստանի Հանրապետությունում ընդհանուր օգտագործման տրանսպորտային միջոցների պարտադիր տեխնիկական զննության անցկացման կարգը հաստատելու մասին» N 344-Ն, Հայաստանի Հանրապետության կառավարության 2007 թվականի փետրվարի 15-ի «Հայաստանի Հանրապետությունում ընդհանուր օգտագործման տրանսպորտային միջոցների պարտադիր տեխնիկական զննության փաստաթղթին (կտրոնին) ներկայացվող պահանջները և շրջանառության կարգը հաստատելու մասին» N 346-Ն, Հայաստանի Հանրապետության կառավարության 2007 թվականի ապրիլի 5-ի «Հայաստանի Հանրապետությունում տրանսպորտային միջոցների պարտադիր տեխնիկական զննության կայանների սարքավորումները մրցույթով ընտրված մատակարարող կազմակերպության միջոցով ձեռք բերելու մասին» N 401-Ն և «Հայաստանի Հանրապետությունում ոչ ընդհանուր օգտագործման տրանսպորտային միջոցների պարտադիր տեխնիկական զննության անցկացման և պարտադիր տեխնիկական զննության փաստաթղթին (կտրոնին) ներկայացվող պահանջները և շջանառության կարգը հաստատելու մասին» N 350-Ն որոշումները:</w:t>
      </w:r>
    </w:p>
    <w:p>
      <w:pPr>
        <w:numPr>
          <w:ilvl w:val="0"/>
          <w:numId w:val="2"/>
        </w:numPr>
      </w:pPr>
      <w:r>
        <w:rPr/>
        <w:t xml:space="preserve">2022 թվականի հունիսի 1-ից տեխնիկական զննության կայաններում օգտագործվող՝ սույն կարգի Ցանկ N 3-ի 5-րդ և 8-րդ կետերով սահմանված տեխնիկական արատորոշման միջոցները պետք է հնարավորություն ունենան տվյալները փոխանցելու տեխնիկական զննության միասնական շտեմարանին։</w:t>
      </w:r>
    </w:p>
    <w:p>
      <w:pPr>
        <w:numPr>
          <w:ilvl w:val="0"/>
          <w:numId w:val="2"/>
        </w:numPr>
      </w:pPr>
      <w:r>
        <w:rPr/>
        <w:t xml:space="preserve">Մինչև 2022 թվականի դեկտեմբերի 31-ը, սույն կարգի Ցանկ N 2-ի՝ շարժիչը և դրա համակարգերը ստուգման աշխատանքների 1-ին և 2-րդ կետերով հայտնաբերված անսարքությունների դեպքում արատորոշման քարտում կատարվում է համապատասխան նշում, որի մասին տեղեկացվում է տրանսպորտային միջոցի տիրապետողին կամ սեփականատիրոջը անսարքությունը մինչև 2023 թվականի հունիսի 1-ը վերացնելու մասին։</w:t>
      </w:r>
    </w:p>
    <w:p>
      <w:pPr>
        <w:numPr>
          <w:ilvl w:val="0"/>
          <w:numId w:val="2"/>
        </w:numPr>
      </w:pPr>
      <w:r>
        <w:rPr/>
        <w:t xml:space="preserve">Շրջանառության մեջ գտնվող տեխնիկական զննության այն կտրոնները, որոնք ձեռք բերողները տրանսպորտային միջոցները չեն ներկայացրել տեխնիկական զննության կայան համապատասխան ծառայությույն ստանալու համար, կարող են ներկայացվել մինչև 2022 թվականի հունվարի 30-ը։ Սույն դեպքերում կայանները կարող են կտրոնների հավելվածները ներկայացնել Հայաստանի Հանրապետության տարածքային կառավարման և ենթակառուցվածքների նախարարություն՝ համապատասխան ծառայությունների մատուցման դիմաց վճարում ստանալու համար։</w:t>
      </w:r>
    </w:p>
    <w:p>
      <w:pPr>
        <w:numPr>
          <w:ilvl w:val="0"/>
          <w:numId w:val="2"/>
        </w:numPr>
      </w:pPr>
      <w:r>
        <w:rPr/>
        <w:t xml:space="preserve">Սույն որոշումը ուժի մեջ է մտնում </w:t>
      </w:r>
      <w:r>
        <w:rPr>
          <w:b w:val="1"/>
          <w:bCs w:val="1"/>
        </w:rPr>
        <w:t xml:space="preserve">«</w:t>
      </w:r>
      <w:r>
        <w:rPr/>
        <w:t xml:space="preserve">Ճանապարհային երթևեկության անվտանգության ապահովման մասին» օրենքում փոփոխություններ կատարելու մասին» Հայաստանի Հանրապետության 2021 թվականի հունվարի 20-ի ՀՕ- 58-Ն օրենքն ուժի մեջ մտնելու պահից: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2021 թվականի</w:t>
      </w:r>
    </w:p>
    <w:p>
      <w:pPr>
        <w:jc w:val="end"/>
      </w:pPr>
      <w:r>
        <w:rPr/>
        <w:t xml:space="preserve">----------ի ----ի N -----Ն որոշման </w:t>
      </w:r>
    </w:p>
    <w:p>
      <w:pPr>
        <w:jc w:val="center"/>
      </w:pPr>
      <w:r>
        <w:rPr>
          <w:b w:val="1"/>
          <w:bCs w:val="1"/>
        </w:rPr>
        <w:t xml:space="preserve"> 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ՏՐԱՆՍՊՈՐՏԱՅԻՆ ՄԻՋՈՑՆԵՐԻ ՊԱՐՏԱԴԻՐ ՏԵԽՆԻԿԱԿԱՆ ԶՆՆՈՒԹՅԱՆ ԱՆՑԿԱՑՄԱՆ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է Հայաստանի Հանրապետության տարածքում շահագործվող և Հայաստանի Հանրապետության ոստիկանության «ճանապարհային ոստիկանություն» ծառայությունում (այսուհետ՝ ճանապարհային ոստիկանություն) հաշվառված, ինչպես նաև նոր ներմուծված և ճանապարհային ոստիկանությունում մշտական հաշվառման ենթակա տրանսպորտային միջոցների պարտադիր տեխնիկական զննության անցկացման կարգը:</w:t>
      </w:r>
    </w:p>
    <w:p>
      <w:pPr>
        <w:numPr>
          <w:ilvl w:val="0"/>
          <w:numId w:val="4"/>
        </w:numPr>
      </w:pPr>
      <w:r>
        <w:rPr/>
        <w:t xml:space="preserve">Տրանսպորտային միջոցների պարտադիր տեխնիկական զննությունը (այսուհետ` տեխնիկական զննություն) իրականացվում է Հայաստանի Հանրապետության օրենսդրությանը համապատասխան լիցենզավորված իրավաբանական անձանց կամ անհատ ձեռնարկատերերի արտադրական բազայում (այսուհետ` տեխնիկական զննության կայան)` տեխնիկական արատորոշման միջոցների օգտագործմամբ:</w:t>
      </w:r>
    </w:p>
    <w:p>
      <w:pPr>
        <w:numPr>
          <w:ilvl w:val="0"/>
          <w:numId w:val="4"/>
        </w:numPr>
      </w:pPr>
      <w:r>
        <w:rPr/>
        <w:t xml:space="preserve">Տեխնիկական զննությունն իրականացվում է վճարովի հիմունքով` օրենսդրությամբ հաստատված սակագնով։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ՏԵԽՆԻԿԱԿԱՆ ԶՆՆՈՒԹՅԱՆ ԽՆԴԻՐՆԵՐՆ ՈՒ ԱՆՑԿԱՑՄԱՆ ԺԱՄԿԵՏՆԵՐԸ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Տեխնիկական զննության հիմնական խնդիրներն են`</w:t>
      </w:r>
    </w:p>
    <w:p>
      <w:pPr/>
      <w:r>
        <w:rPr/>
        <w:t xml:space="preserve">1) ճանապարհային երթևեկության անվտանգության ապահովման ոլորտի նորմատիվ իրավական ակտերի, կանոնների, ստանդարտների և տեխնիկական նորմերի պահանջներին, ինչպես նաև վնասակար նյութերի մթնոլորտ արտանետման տեխնիկական նորմատիվներին տրանսպորտային միջոցների տեխնիկական վիճակի և կահավորանքի համապատասխանության ապահովումը.</w:t>
      </w:r>
    </w:p>
    <w:p>
      <w:pPr/>
      <w:r>
        <w:rPr/>
        <w:t xml:space="preserve">2) շահագործման մեջ գտնվող տրանսպորտային միջոցների կառուցվածքում ինքնակամ և երթևեկության անվտանգությանն սպառնացող փոփոխությունների կատարման կանխումը.</w:t>
      </w:r>
    </w:p>
    <w:p>
      <w:pPr/>
      <w:r>
        <w:rPr/>
        <w:t xml:space="preserve">3) տեխնիկական զննության անցկացման արդյունքների մասին համապատասխան կառավարման մարմիններում տեղեկատվական բազայի վարումը` նրանց կողմից սահմանվող կարգով:</w:t>
      </w:r>
    </w:p>
    <w:p>
      <w:pPr>
        <w:numPr>
          <w:ilvl w:val="0"/>
          <w:numId w:val="7"/>
        </w:numPr>
      </w:pPr>
      <w:r>
        <w:rPr/>
        <w:t xml:space="preserve">Տրանսպորտային միջոցները ենթակա են տեխնիկական զննության՝ օրենքով սահմանված պարբերականությամբ.                      </w:t>
      </w:r>
    </w:p>
    <w:p>
      <w:pPr>
        <w:numPr>
          <w:ilvl w:val="0"/>
          <w:numId w:val="7"/>
        </w:numPr>
      </w:pPr>
      <w:r>
        <w:rPr/>
        <w:t xml:space="preserve">Տրանսպորտային միջոցը տեխնիկական զննության պետք է ներկայացվի մինչև նախորդ տեխնիկական զննությամբ տրամադրված արատորոշման քարտում նշված ամսվա վերջին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ՏԵԽՆԻԿԱԿԱՆ ԶՆՆՈՒԹՅԱՆ ԺԱՄԱՆԱԿ ՆԵՐԿԱՅԱՑՎՈՂ ՓԱՍՏԱԹՂԹԵՐԸ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Տեխնիկական զննություն անցկացնելու համար տրանսպորտային միջոցի տիրապետողը կամ սեփականատերը տեխնիկական զննության կայան է ներկայացնում տրանսպորտային միջոցը և հետևյալ փաստաթղթերը`</w:t>
      </w:r>
    </w:p>
    <w:p>
      <w:pPr/>
      <w:r>
        <w:rPr/>
        <w:t xml:space="preserve">1) տրանսպորտային միջոցի հաշվառման վկայագիրը, իսկ նոր ներմուծված և ճանապարհային ոստիկանությունում մշտական հաշվառման ենթակա տրանսպորտային միջոցների տեխնիկական զննության ժամանակ` տրանսպորտային միջոցի մաքսային փաստաթղթերը.</w:t>
      </w:r>
    </w:p>
    <w:p>
      <w:pPr/>
      <w:r>
        <w:rPr/>
        <w:t xml:space="preserve">2) փոխադ­րա­միջոցների գույքահարկի պարտավորությունների ամբողջական կատարման մասին տեղեկանքը (և/կամ վճարման անդորրագիրը): Նոր ներմուծված և ճանապարհային ոստիկանությունում մշտական հաշվառման ենթակա մեխանիկական տրանսպորտային միջոցների տեխնիկական զննության ժամանակ գույքահարկի պարտավորությունների կատարման մասին տեղեկանքը չի ներկայացվում.</w:t>
      </w:r>
    </w:p>
    <w:p>
      <w:pPr/>
      <w:r>
        <w:rPr/>
        <w:t xml:space="preserve">3) Հայաստանի Հանրապետության հարկային օրենսգրքով սահմանված կարգով հաշվարկված բնապահպանական հարկի վճարման անդորրագիրը.</w:t>
      </w:r>
    </w:p>
    <w:p>
      <w:pPr>
        <w:numPr>
          <w:ilvl w:val="0"/>
          <w:numId w:val="9"/>
        </w:numPr>
      </w:pPr>
      <w:r>
        <w:rPr/>
        <w:t xml:space="preserve">Տեխնիկական զննության անցկացման վճարումները կատարվում են տեխնիկական զննության կայաններում տեղակայված վճարային տերմինալների, պետական վճարումների էլեկտրոնային համակարգի, ինչպես նաև բանկային կամ վճարահաշվարկային կազմակերպությունների միջոցով։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ՏԵԽՆԻԿԱԿԱՆ ԶՆՆՈՒԹՅՈՒՆԸ</w:t>
      </w:r>
    </w:p>
    <w:p>
      <w:pPr>
        <w:numPr>
          <w:ilvl w:val="0"/>
          <w:numId w:val="10"/>
        </w:numPr>
      </w:pPr>
      <w:r>
        <w:rPr/>
        <w:t xml:space="preserve">Տեխնիկական զննությունն իրականացվում է տրանսպորտային միջոցների տեխնիկական զննության գործունեության լիցենզիա ունեցող կազմակերպությունների և անհատ ձեռնարկատերերի կողմից` անկախ տրանսպորտային միջոցների հաշվառման վայրից:</w:t>
      </w:r>
    </w:p>
    <w:p>
      <w:pPr/>
      <w:r>
        <w:rPr/>
        <w:t xml:space="preserve">10․ Տեխնիկական զննության կայաններում տրանսպորտային միջոցի տեխնիկական զննությունը սկսվում է տրանսպորտային միջոցը հաշվառման վկայագրի տվյալների նույնականացումից հետո։</w:t>
      </w:r>
    </w:p>
    <w:p>
      <w:pPr>
        <w:numPr>
          <w:ilvl w:val="0"/>
          <w:numId w:val="11"/>
        </w:numPr>
      </w:pPr>
      <w:r>
        <w:rPr/>
        <w:t xml:space="preserve">Տեխնիկական զննության կայաններում տեխնիկական արատորոշման միջոցների օգտագործմամբ և զննման միջոցով ստուգվում է տրանսպորտային միջոցների համապատասխանությունը սույն կարգի ցանկ N 1-ում նշված նորմատիվ իրավական ակտերի, կանոնների, ստանդարտների և տեխնիկական նորմերի պահանջներին (այսուհետ` ճանապարհային երթևեկության անվտանգության պահանջներ):</w:t>
      </w:r>
    </w:p>
    <w:p>
      <w:pPr>
        <w:numPr>
          <w:ilvl w:val="0"/>
          <w:numId w:val="11"/>
        </w:numPr>
      </w:pPr>
      <w:r>
        <w:rPr/>
        <w:t xml:space="preserve">Տեխնիկական զննության կայաններում կատարվում են տրանսպորտային միջոցների` սույն կարգի ցանկ N 2-ում նշված հանգույցների ու համակարգերի տեխնիկական վիճակի ստուգման աշխատանքները:</w:t>
      </w:r>
    </w:p>
    <w:p>
      <w:pPr>
        <w:numPr>
          <w:ilvl w:val="0"/>
          <w:numId w:val="11"/>
        </w:numPr>
      </w:pPr>
      <w:r>
        <w:rPr/>
        <w:t xml:space="preserve">Տեխնիկական զննության կայաններում տրանսպորտային միջոցների տեխնիկական վիճակի ստուգման ժամանակ օգտագործվող տեխնիկական արատորոշման միջոցների ցանկը և դրանց հիմնական տեխնիկական բնութագրերը ներկայացված են սույն կարգի ցանկ N 3-ում։</w:t>
      </w:r>
    </w:p>
    <w:p>
      <w:pPr>
        <w:numPr>
          <w:ilvl w:val="0"/>
          <w:numId w:val="11"/>
        </w:numPr>
      </w:pPr>
      <w:r>
        <w:rPr/>
        <w:t xml:space="preserve">Ճանապարհային երթևեկության անվտանգության պահանջներին և մնացած պարամետրերի անհամապատասխանության դեպքում արատորոշման քարտում կատարվում է համապատասխան նշում։</w:t>
      </w:r>
    </w:p>
    <w:p>
      <w:pPr>
        <w:numPr>
          <w:ilvl w:val="0"/>
          <w:numId w:val="11"/>
        </w:numPr>
      </w:pPr>
      <w:r>
        <w:rPr/>
        <w:t xml:space="preserve">Ճանապարհային երթևեկության անվտանգության պահանջները չբավարարած և անսարք համարված տրանսպորտային միջոցի կրկնակի զննությունը տեխնիկական զննությունից հետո 20 օրվա ընթացքում իրականացվելու դեպքում տիրապետողը կամ սեփականատերը համապատասխան արատորոշման քարտը ներկայացնում է նույն տեխնիկական զննության կայան, և տեխնիկական վիճակն ստուգվում է միայն այն ցուցանիշների գծով, որոնք հիմք են հանդիսացել նախորդ զննության ժամանակ արձանագրված անհամապատասխանությունների համար: Կրկնակի զննությունը իրականացվում է անվճար հիմունքներով։</w:t>
      </w:r>
    </w:p>
    <w:p>
      <w:pPr>
        <w:numPr>
          <w:ilvl w:val="0"/>
          <w:numId w:val="11"/>
        </w:numPr>
      </w:pPr>
      <w:r>
        <w:rPr/>
        <w:t xml:space="preserve">Տեխնիկական զննության իրականացման գործընթացը տեսաձայնագրվում է, որի ձայնագրությունները կայանում պահպանվում են երեք տարի ժամկետով։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ՏԵԽՆԻԿԱԿԱՆ ԶՆՆՈՒԹՅԱՆ ԱՐԴՅՈՒՆՔՆԵՐԻ ՁԵՎԱԿԵՐՊՈՒՄԸ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Տեխնիկական վիճակի ստուգման արդյունքի հիման վրա էլեկտրոնային եղանակով ձևակերպվում է տրանսպորտային միջոցի տեխնիկական զննության արատորոշման քարտը (այսուհետ` արատորոշման քարտ)՝ համաձայն N 1 ձևի:</w:t>
      </w:r>
    </w:p>
    <w:p>
      <w:pPr>
        <w:numPr>
          <w:ilvl w:val="0"/>
          <w:numId w:val="13"/>
        </w:numPr>
      </w:pPr>
      <w:r>
        <w:rPr/>
        <w:t xml:space="preserve">18. Արատորոշման քարտերը տեխնիկական զննության միասնական շտեմարանում պահպանվում են 10 տարի ժամկետով։</w:t>
      </w:r>
    </w:p>
    <w:p>
      <w:pPr>
        <w:numPr>
          <w:ilvl w:val="0"/>
          <w:numId w:val="13"/>
        </w:numPr>
      </w:pPr>
      <w:r>
        <w:rPr/>
        <w:t xml:space="preserve">Արատորոշման քարտը տպվում է նաև թղթային եղանակով` մեկ օրինակից: Տրանսպորտային միջոցի տեխնիկական վիճակի հսկիչի և տրանսպորտային միջոցը տիրապետողի կամ սեփականատիրոջ կողմից ստորագրվելուց հետո հանձնվում է վերջինիս։</w:t>
      </w:r>
    </w:p>
    <w:p>
      <w:pPr>
        <w:numPr>
          <w:ilvl w:val="0"/>
          <w:numId w:val="13"/>
        </w:numPr>
      </w:pPr>
      <w:r>
        <w:rPr/>
        <w:t xml:space="preserve">Արատորոշման քարտի գործողության ժամկետում տրանսպորտային միջոցի սեփականատիրոջ փոփոխության դեպքում տվյալ արատորոշման քարտը պահպանում է գործողության ժամկետը։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ՏԵԽՆԻԿԱԿԱՆ ԶՆՆՈՒԹՅԱՆ ԱՐԴՅՈՒՆՔՆԵՐԻ ՀԱՇՎԱՌՈՒՄԸ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Տեխնիկական զննության արդյունքում տեխնիկական զննության կայանները համապատասխան ծրագրային ապահովման միջոցով կատարում են տեխնիկական զննություն անցած տրանսպորտային միջոցների տվյալների մուտքագրում:</w:t>
      </w:r>
    </w:p>
    <w:p>
      <w:pPr>
        <w:numPr>
          <w:ilvl w:val="0"/>
          <w:numId w:val="15"/>
        </w:numPr>
      </w:pPr>
      <w:r>
        <w:rPr/>
        <w:t xml:space="preserve">Տրանսպորտային միջոցի արատորոշման քարտում նշված բոլոր տվյալները, կառուցվածքային ու հարմարադասման մեջ կատարված փոփոխությունների մասին լրացուցիչ տեղեկությունները գրանցվում են տեխնիկական զննության կայանների միասնական շտեմարանում։</w:t>
      </w:r>
    </w:p>
    <w:p>
      <w:pPr>
        <w:numPr>
          <w:ilvl w:val="0"/>
          <w:numId w:val="15"/>
        </w:numPr>
      </w:pPr>
      <w:r>
        <w:rPr/>
        <w:t xml:space="preserve">Տեխնիկական զննության կայանների միասնական շտեմարանից կարող է օգտվել ճանապարհային ոստիկանությունը, իսկ լիազոր մարմնի թույլտվությամբ նաև այլ շահագրգիռ մարմիններ։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 Ա Ն Կ N 1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ՏՐԱՆՍՊՈՐՏԱՅԻՆ ՄԻՋՈՑՆԵՐԻ ԵՎ ԴՐԱՆՑ ԼՐԱՑՈՒՑԻՉ ՍԱՐՔԱՎՈՐՈՒՄՆԵՐԻ ԿԱՌՈՒՑՎԱԾՔԻՆ ԵՎ ՏԵԽՆԻԿԱԿԱՆ ՎԻՃԱԿԻՆ ՊԱՀԱՆՋՆԵՐ ՆԵՐԿԱՅԱՑՆՈՂ ՆՈՐՄԱՏԻՎ ԻՐԱՎԱԿԱՆ ԱԿՏԵՐԻ, ԿԱՆՈՆՆԵՐԻ, ՍՏԱՆԴԱՐՏՆԵՐԻ ԵՎ ՏԵԽՆԻԿԱԿԱՆ ՆՈՐՄԵՐԻ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«Ճանապարհային երթևեկության անվտանգության ապահովման մասին» Հայաստանի Հանրապետության օրենք</w:t>
      </w:r>
    </w:p>
    <w:p>
      <w:pPr>
        <w:numPr>
          <w:ilvl w:val="0"/>
          <w:numId w:val="16"/>
        </w:numPr>
      </w:pPr>
      <w:r>
        <w:rPr/>
        <w:t xml:space="preserve">Հայաստանի Հանրապետության կառավարության 2007 թվականի հունիսի 28-ի «Հայաստանի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մասին» N 955-Ն որոշում</w:t>
      </w:r>
    </w:p>
    <w:p>
      <w:pPr>
        <w:numPr>
          <w:ilvl w:val="0"/>
          <w:numId w:val="16"/>
        </w:numPr>
      </w:pPr>
      <w:r>
        <w:rPr/>
        <w:t xml:space="preserve">3. Հայաստանի Հանրապետության կառավարության 2005 թվականի դեկտեմբերի 29-ի «Կարմիր, կապույտ, դեղին (նարնջագույն), լուսնասպիտակ առկայծող փարոսիկներով կահավորման ենթակա տրանսպորտային միջոցների ցանկը հաստատելու մասին» N 2329-Ն որոշում</w:t>
      </w:r>
    </w:p>
    <w:p>
      <w:pPr>
        <w:numPr>
          <w:ilvl w:val="0"/>
          <w:numId w:val="16"/>
        </w:numPr>
      </w:pPr>
      <w:r>
        <w:rPr/>
        <w:t xml:space="preserve">4. Հայաստանի Հանրապետության կառավարության 1998 թվականի հունիսի 16-ի «Ավտոտրանսպորտային միջոցների պետական գրանցման առանձնահատուկ համարանիշների և հատուկ ազդանշանների օգտագործումը կանոնակարգելու մասին» N 367 որոշում</w:t>
      </w:r>
    </w:p>
    <w:p>
      <w:pPr>
        <w:numPr>
          <w:ilvl w:val="0"/>
          <w:numId w:val="16"/>
        </w:numPr>
      </w:pPr>
      <w:r>
        <w:rPr/>
        <w:t xml:space="preserve">5. Հայաստանի Հանրապետության կառավարության 2002 թվականի սեպտեմբերի 12-ի «Քաղաքացիներին և կազմակերպություններին պատկանող` ոստիկանության կողմից հատուկ հաշվառման ենթակա առարկաների, սարքավորումների և փաստաթղթերի ցանկը հաստատելու մասին» N 1566-Ն որոշում</w:t>
      </w:r>
    </w:p>
    <w:p>
      <w:pPr>
        <w:numPr>
          <w:ilvl w:val="0"/>
          <w:numId w:val="16"/>
        </w:numPr>
      </w:pPr>
      <w:r>
        <w:rPr/>
        <w:t xml:space="preserve">6. ՀՍՏ-185-2006 օպերատիվ ծառայությունների ավտոմեքենաներ, ավտոբուսներ և մոտոցիկլետներ. Գունագծապատկերներ, ճանաչման նշաններ, մակագրություններ, լուսային և ձայնային հատուկ ազդանշաններ. Ընդհանուր պահանջներ (հաստատված Հայաստանի Հանրապետության առևտրի և տնտեսական զարգացման նախարարի 2006 թվականի հունիսի 29-ի N 146 հրամանով)</w:t>
      </w:r>
    </w:p>
    <w:p>
      <w:pPr>
        <w:numPr>
          <w:ilvl w:val="0"/>
          <w:numId w:val="16"/>
        </w:numPr>
      </w:pPr>
      <w:r>
        <w:rPr/>
        <w:t xml:space="preserve">7. ՀՍՏ-110-2006 տրանսպորտային միջոցների հաշվառման համարանիշներ. Տիպեր և հիմնական չափեր. Տեխնիկական պահանջներ և շահագործման վերաբերյալ ցուցումներ (հաստատված Հայաստանի Հանրապետության առևտրի և տնտեսական զարգացման նախարարի 2006 թվականի դեկտեմբերի 12-ի N 246-Ա հրամանով)</w:t>
      </w:r>
    </w:p>
    <w:p>
      <w:pPr>
        <w:numPr>
          <w:ilvl w:val="0"/>
          <w:numId w:val="16"/>
        </w:numPr>
      </w:pPr>
      <w:r>
        <w:rPr/>
        <w:t xml:space="preserve">8. «Անվավոր տրանսպորտային միջոցների անվտանգության մասին» ԵԱՏՄ տեխնիկական կանոնակարգ (ՄՄ ՏԿ 018/2011)։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 Ա Ն Կ  N 2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ՏՐԱՆՍՊՈՐՏԱՅԻՆ ՄԻՋՈՑՆԵՐԻ ՊԱՐՏԱԴԻՐ ՏԵԽՆԻԿԱԿԱՆ ԶՆՆՈՒԹՅԱՆ ԺԱՄԱՆԱԿ ՏԵԽՆԻԿԱԿԱՆ ՎԻՃԱԿԻ ՍՏՈՒԳՄԱՆ ԱՇԽԱՏԱՆՔՆԵՐԻ</w:t>
      </w:r>
    </w:p>
    <w:p>
      <w:pPr/>
      <w:r>
        <w:rPr>
          <w:b w:val="1"/>
          <w:bCs w:val="1"/>
        </w:rPr>
        <w:t xml:space="preserve"> </w:t>
      </w:r>
    </w:p>
    <w:tbl>
      <w:tblGrid>
        <w:gridCol w:w="570" w:type="dxa"/>
        <w:gridCol w:w="9060" w:type="dxa"/>
        <w:gridCol w:w="1125" w:type="dxa"/>
      </w:tblGrid>
      <w:tblPr>
        <w:tblW w:w="0" w:type="auto"/>
        <w:tblLayout w:type="autofit"/>
      </w:tblPr>
      <w:tr>
        <w:trPr/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</w:p>
          <w:p>
            <w:pPr/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9060" w:type="dxa"/>
            <w:noWrap/>
          </w:tcPr>
          <w:p>
            <w:pPr/>
            <w:r>
              <w:rPr>
                <w:b w:val="1"/>
                <w:bCs w:val="1"/>
              </w:rPr>
              <w:t xml:space="preserve">Ագրեգատների, հանգույցների, համակարգերի</w:t>
            </w:r>
          </w:p>
          <w:p>
            <w:pPr/>
            <w:r>
              <w:rPr>
                <w:b w:val="1"/>
                <w:bCs w:val="1"/>
              </w:rPr>
              <w:t xml:space="preserve"> և աշխատանքների անվանումները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Դիրքը` ըստ արատ- որոշման քարտի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Արգելակային համակարգ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Արգելակային ստենդի վրա փորձարկման ժամանակ տրանսպորտային միջոցի արգելակման համակարգերի ստուգում, այդ թվում`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1) բանվորական արգելակային համակարգի տեսակարար արգելակման ուժերի որոշում</w:t>
            </w:r>
          </w:p>
          <w:p>
            <w:pPr/>
            <w:r>
              <w:rPr/>
              <w:t xml:space="preserve">2) անիվների արգելակային ուժերի անհավասարաչափության գործակցի որոշում</w:t>
            </w:r>
          </w:p>
          <w:p>
            <w:pPr/>
            <w:r>
              <w:rPr/>
              <w:t xml:space="preserve">3) կայանման արգելակային համակարգի տեսակարար արգելակման ուժի որոշում</w:t>
            </w:r>
          </w:p>
          <w:p>
            <w:pPr/>
            <w:r>
              <w:rPr/>
              <w:t xml:space="preserve">4) բանվորական արգելակային համակարգի գործարկման ժամանակի որոշում</w:t>
            </w:r>
          </w:p>
          <w:p>
            <w:pPr/>
            <w:r>
              <w:rPr/>
              <w:t xml:space="preserve">5) օժանդակ արգելակային համակարգի աշխատունակության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101</w:t>
            </w:r>
          </w:p>
          <w:p>
            <w:pPr/>
            <w:r>
              <w:rPr/>
              <w:t xml:space="preserve">102</w:t>
            </w:r>
          </w:p>
          <w:p>
            <w:pPr/>
            <w:r>
              <w:rPr/>
              <w:t xml:space="preserve">103</w:t>
            </w:r>
          </w:p>
          <w:p>
            <w:pPr/>
            <w:r>
              <w:rPr/>
              <w:t xml:space="preserve">104</w:t>
            </w:r>
          </w:p>
          <w:p>
            <w:pPr/>
            <w:r>
              <w:rPr/>
              <w:t xml:space="preserve">105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Արգելակային համակարգի տարրերի տեխնիկական վիճակի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106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Ղեկային կառավարում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Ղեկանիվի առավելագույն շրջադարձի անկյան և ղեկային վարման գումարային խաղի մեծության չափում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201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Ղեկային կառավարման դետալների փոխադարձ տեղաշարժի և խաղի առկայության ու պարուրակային միացությունների սևեռման հուսալիության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202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Ղեկային կառավարման ուժեղարարի տեխնիկական վիճակի և աշխատունակության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203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Ղեկային կառավարման տարրերի տեխնիկական վիճակի և ամրակապման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204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Արտաքին լուսավորման սարքեր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Ներկայացվող պահանջներին արտաքին լուսավորման սարքերի քանակի, տեսակի, դասավորության, վիճակի և գույնի համապատասխանության ու սահմանված ռեժիմում դրանց աշխատունակության ստուգում</w:t>
            </w:r>
          </w:p>
          <w:p>
            <w:pPr/>
            <w:r>
              <w:rPr/>
              <w:t xml:space="preserve">այդ թվում`</w:t>
            </w:r>
          </w:p>
          <w:p>
            <w:pPr/>
            <w:r>
              <w:rPr/>
              <w:t xml:space="preserve">1) հեռահար և մոտակա լույսի լապտերների</w:t>
            </w:r>
          </w:p>
          <w:p>
            <w:pPr/>
            <w:r>
              <w:rPr/>
              <w:t xml:space="preserve">2) առջևի և հետևի հակամառախուղային լապտերների</w:t>
            </w:r>
          </w:p>
          <w:p>
            <w:pPr/>
            <w:r>
              <w:rPr/>
              <w:t xml:space="preserve">3) արգելակման ազդանշանների</w:t>
            </w:r>
          </w:p>
          <w:p>
            <w:pPr/>
            <w:r>
              <w:rPr/>
              <w:t xml:space="preserve">4) եզրաչափային լույսերի</w:t>
            </w:r>
          </w:p>
          <w:p>
            <w:pPr/>
            <w:r>
              <w:rPr/>
              <w:t xml:space="preserve">5) շրջադարձի ցուցիչների և վթարային ազդարարիչների</w:t>
            </w:r>
          </w:p>
          <w:p>
            <w:pPr/>
            <w:r>
              <w:rPr/>
              <w:t xml:space="preserve">6) հետընթացի լույսերի</w:t>
            </w:r>
          </w:p>
          <w:p>
            <w:pPr/>
            <w:r>
              <w:rPr/>
              <w:t xml:space="preserve">7) գրանցման համարանիշի լուսավորման լապտերիկի</w:t>
            </w:r>
          </w:p>
          <w:p>
            <w:pPr/>
            <w:r>
              <w:rPr/>
              <w:t xml:space="preserve">8) լուսային անդրադարձիչների</w:t>
            </w:r>
          </w:p>
          <w:p>
            <w:pPr/>
            <w:r>
              <w:rPr/>
              <w:t xml:space="preserve">9) ավտոգնացքի նշանների</w:t>
            </w:r>
          </w:p>
          <w:p>
            <w:pPr/>
            <w:r>
              <w:rPr/>
              <w:t xml:space="preserve">10) հեռահար և մոտակա լույսի լապտերների ու հակամառախուղային լապտերների լույսի ուժի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301</w:t>
            </w:r>
          </w:p>
          <w:p>
            <w:pPr/>
            <w:r>
              <w:rPr/>
              <w:t xml:space="preserve">302</w:t>
            </w:r>
          </w:p>
          <w:p>
            <w:pPr/>
            <w:r>
              <w:rPr/>
              <w:t xml:space="preserve">303</w:t>
            </w:r>
          </w:p>
          <w:p>
            <w:pPr/>
            <w:r>
              <w:rPr/>
              <w:t xml:space="preserve">304</w:t>
            </w:r>
          </w:p>
          <w:p>
            <w:pPr/>
            <w:r>
              <w:rPr/>
              <w:t xml:space="preserve">305</w:t>
            </w:r>
          </w:p>
          <w:p>
            <w:pPr/>
            <w:r>
              <w:rPr/>
              <w:t xml:space="preserve">306</w:t>
            </w:r>
          </w:p>
          <w:p>
            <w:pPr/>
            <w:r>
              <w:rPr/>
              <w:t xml:space="preserve">307</w:t>
            </w:r>
          </w:p>
          <w:p>
            <w:pPr/>
            <w:r>
              <w:rPr/>
              <w:t xml:space="preserve">308</w:t>
            </w:r>
          </w:p>
          <w:p>
            <w:pPr/>
            <w:r>
              <w:rPr/>
              <w:t xml:space="preserve">309</w:t>
            </w:r>
          </w:p>
          <w:p>
            <w:pPr/>
            <w:r>
              <w:rPr/>
              <w:t xml:space="preserve">310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Հողմապակու ապակեմաքրիչներ և ապակելվացներ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Հողմապակու ապակեմաքրիչների և ողողիչների վիճակի և սահմանված ռեժիմում դրանց աշխատունակության ստուգում</w:t>
            </w:r>
          </w:p>
          <w:p>
            <w:pPr/>
            <w:r>
              <w:rPr/>
              <w:t xml:space="preserve">այդ թվում`</w:t>
            </w:r>
          </w:p>
          <w:p>
            <w:pPr/>
            <w:r>
              <w:rPr/>
              <w:t xml:space="preserve">1) ապակեմաքրիչների</w:t>
            </w:r>
          </w:p>
          <w:p>
            <w:pPr/>
            <w:r>
              <w:rPr/>
              <w:t xml:space="preserve">2) ապակելվացների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401</w:t>
            </w:r>
          </w:p>
          <w:p>
            <w:pPr/>
            <w:r>
              <w:rPr/>
              <w:t xml:space="preserve">402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Անիվներ և դողեր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Դողերի մակնիշավորմանը և տրանսպորտային միջոցի կառուցվածքին, չափին և թույլատրելի բեռնվածքին դրանց համապատասխանության ու տեխնիկական վիճակի ստուգում</w:t>
            </w:r>
          </w:p>
          <w:p>
            <w:pPr/>
            <w:r>
              <w:rPr/>
              <w:t xml:space="preserve">այդ թվում`</w:t>
            </w:r>
          </w:p>
          <w:p>
            <w:pPr/>
            <w:r>
              <w:rPr/>
              <w:t xml:space="preserve">1) պահպանաշերտի նախշանկարի մնացորդային բարձրության</w:t>
            </w:r>
          </w:p>
          <w:p>
            <w:pPr/>
            <w:r>
              <w:rPr/>
              <w:t xml:space="preserve">2) դողերի վնասվածքի առկայության</w:t>
            </w:r>
          </w:p>
          <w:p>
            <w:pPr/>
            <w:r>
              <w:rPr/>
              <w:t xml:space="preserve">3) անիվների տեղակայման</w:t>
            </w:r>
          </w:p>
          <w:p>
            <w:pPr/>
            <w:r>
              <w:rPr/>
              <w:t xml:space="preserve">3) անվահեծերի և սկավառակների ամրակապման ու վիճակի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501</w:t>
            </w:r>
          </w:p>
          <w:p>
            <w:pPr/>
            <w:r>
              <w:rPr/>
              <w:t xml:space="preserve">502</w:t>
            </w:r>
          </w:p>
          <w:p>
            <w:pPr/>
            <w:r>
              <w:rPr/>
              <w:t xml:space="preserve">503</w:t>
            </w:r>
          </w:p>
          <w:p>
            <w:pPr/>
            <w:r>
              <w:rPr/>
              <w:t xml:space="preserve">504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Շարժիչը և դրա համակարգերը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Բենզինային և գազաբալոնային շարժիչի բանած գազերում վնասակար նյութերի (ածխածնի օքսիդի` CO, ածխածնի դիօքսիդի՝ CO2 և ածխաջրածինների` CH) պարունակության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601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Դիզելային շարժիչի ծխայնության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602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Սնման համակարգի սարքերի և խողովակաշարերի հերմետիկության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603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Մեխանիկական ծակվածքների ու անկիպությունների առկայության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604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Կառուցվածքի այլ տարրեր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Տրանսպորտային միջոցի և դրա ագրեգատների մականշվածքների համապատասխանությունը հաշվառման վկայագրի տվյալներին և դրանց փոփոխման առկայությունը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701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Հետին տեսանելիության հայելիների առկայության, դրանց վիճակի և ամրակապման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702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Ապակիների վիճակի (տեսանելիության), վարորդի նստատեղից տեսանելիությունը սահմանափակող լրացուցիչ իրերի առկայության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703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Կախոցքի և կարդանային փոխանցման տարրերի տեխնիկական վիճակի և ամրակապման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704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Վարորդի և ուղևորների նստարանների կարգավորման մեխանիզմի տեխնիկական վիճակի և ամրակապման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705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Ավտոբուսների սրահներից վթարային ելքերի աշխատունակության, դրանց ցուցիչների և օգտագործման կարգի վերաբերյալ ցուցումների առկայության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706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Ապակիների տաքացման և փչահարման սարքերի աշխատունակության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707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Բժշկական դեղատուփի, կրակմարիչի, վթարային կանգառի նշանի առկայության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708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Անվտանգության գոտիների առկայության և աշխատունակության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709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Ձայնային ազդանշանի ձայնային ուժի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710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Արագաչափի և պտույտաչափի աշխատունակության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711</w:t>
            </w:r>
          </w:p>
        </w:tc>
      </w:tr>
      <w:tr>
        <w:trPr/>
        <w:tc>
          <w:tcPr>
            <w:tcW w:w="107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Այլ աշխատանքներ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Տրանսպորտային միջոցի կառուցվածքում փոփոխությունների առկայության և դրանց վերաբերյալ համապատասխան մարմինների թույլտվության կամ համաձայնության առկայության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801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060" w:type="dxa"/>
            <w:noWrap/>
          </w:tcPr>
          <w:p>
            <w:pPr/>
            <w:r>
              <w:rPr/>
              <w:t xml:space="preserve">Մասնագիտացված տրանսպորտային միջոցների մոտ բեռի ամրացման հարմարանքի, հատուկ թափքերի, ցիստեռնների և այլ սարքավորումների տեխնիկական վիճակի, աշխատունակության և հուսալիության ստուգում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802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 Ա Ն Կ  N 3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ՏԵԽՆԻԿԱԿԱՆ ԶՆՆՈՒԹՅԱՆ ԿԱՅԱՆՆԵՐՈՒՄ ՏՐԱՆՍՊՈՐՏԱՅԻՆ ՄԻՋՈՑՆԵՐԻ ՏԵԽՆԻԿԱԿԱՆ ԶՆՆՈՒԹՅԱՆ ԺԱՄԱՆԱԿ ԴՐԱՆՑ ՎԻՃԱԿԻ ՍՏՈՒԳՄԱՆ ՀԱՄԱՐ ՕԳՏԱԳՈՐԾՎՈՂ ՏԵԽՆԻԿԱԿԱՆ ԱՐԱՏՈՐՈՇՄԱՆ ՄԻՋՈՑՆԵՐԻ</w:t>
      </w:r>
    </w:p>
    <w:p>
      <w:pPr/>
      <w:r>
        <w:rPr>
          <w:b w:val="1"/>
          <w:bCs w:val="1"/>
        </w:rPr>
        <w:t xml:space="preserve"> </w:t>
      </w:r>
    </w:p>
    <w:tbl>
      <w:tblGrid>
        <w:gridCol w:w="555" w:type="dxa"/>
        <w:gridCol w:w="3405" w:type="dxa"/>
        <w:gridCol w:w="3255" w:type="dxa"/>
        <w:gridCol w:w="1695" w:type="dxa"/>
        <w:gridCol w:w="1830" w:type="dxa"/>
      </w:tblGrid>
      <w:tblPr>
        <w:tblW w:w="0" w:type="auto"/>
        <w:tblLayout w:type="autofit"/>
      </w:tblPr>
      <w:tr>
        <w:trPr/>
        <w:tc>
          <w:tcPr>
            <w:tcW w:w="555" w:type="dxa"/>
            <w:noWrap/>
          </w:tcPr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Սարքավորման տեսակը</w:t>
            </w:r>
          </w:p>
        </w:tc>
        <w:tc>
          <w:tcPr>
            <w:tcW w:w="6795" w:type="dxa"/>
            <w:gridSpan w:val="3"/>
            <w:noWrap/>
          </w:tcPr>
          <w:p>
            <w:pPr/>
            <w:r>
              <w:rPr/>
              <w:t xml:space="preserve">Տեխնիկական բնութագիրը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Վերահսկվող (ստուգվող) պարամետրերը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Չափման սահմանը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Առավելագույն սխալանքը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3405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3255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695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83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1075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Արգելակային համակարգի տեխնիկական արատորոշման պարտադիր միջոցները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Ստենդ` թեթև մարդատար ավտոմոբիլների, միկրոավտոբուսների և փոքրատոննաժ բեռնատար ավտոմոբիլների արգելակային համակարգի ստուգման համար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արգելակման ուժերը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0-6.0 կՆ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կառավարման օրգանի վրա գործադրվող ուժը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300-700 Ն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արգելակային համակարգի գործարկման ժամանակը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0.4-2.0 վ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+/-0.03 վ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տրանսպորտային միջոցի զանգվածը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600-4000 կգ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2 %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Ունիվերսալ ստենդ` թեթև մարդատար և բեռնատար ավտոմոբիլների ու ավտոբուսների արգելակային համակարգի ստուգման համար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արգելակման ուժերը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0-40 ԿՆ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կառավարման օրգանի վրա գործադրվող ուժը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300-700 Ն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արգելակային համակարգի գործարկման ժամանակը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0.4-2.0 վ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+/-0.03 վ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տրանսպորտային միջոցի զանգվածը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600-13000 կգ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2 %</w:t>
            </w:r>
          </w:p>
        </w:tc>
      </w:tr>
      <w:tr>
        <w:trPr/>
        <w:tc>
          <w:tcPr>
            <w:tcW w:w="1075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Ղեկային վարման համակարգի տեխնիկական արատորոշման պարտադիր միջոցներ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Սարք` ղեկային վարման գումարային խաղի չափման համար (35 կգ/Նժ)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ղեկանիվի շրջադարձի անկյունը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մինչև 25 աստիճան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+/-1 աստ.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ճիգը` ղեկանիվի շրջադարձի ժամանակ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մինչև 35 Ն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1 %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Ձողակարկին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գծային չափերի չափում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0.5-100 մմ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+/- 0.05 մմ</w:t>
            </w:r>
          </w:p>
        </w:tc>
      </w:tr>
      <w:tr>
        <w:trPr/>
        <w:tc>
          <w:tcPr>
            <w:tcW w:w="1075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Արտաքին լուսավորման սարքերի տեխնիկական արատորոշման պարտադիր միջոցները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Սարք` արտաքին լուսային սարքերի լույսի ստուգման համար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լուսաստվերային սահման պարունակող հարթության թեքվածքը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30'-150'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0.5 %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լուսային փնջի առանցքի հորիզոնական շեղումը հաշվանցման առանցքից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մինչև 5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0.5 %</w:t>
            </w:r>
          </w:p>
        </w:tc>
      </w:tr>
      <w:tr>
        <w:trPr/>
        <w:tc>
          <w:tcPr>
            <w:tcW w:w="1075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Անիվների և դողերի տեխնիկական արատորոշման պարտադիր միջոցները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Դողերի ճնշաչափերի հավաքածու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սեղմված օդի ճնշումը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մինչև 1 ՄՊա (10 կգ/սմ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 )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+/- 0.01 ՄՊա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Դողի պահպանաշերտի նախշերի խորության չափիչ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պահպանաշերտի նախշերի մնացորդային բարձրությունը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0.5-3.0 մմ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+/-0.1 մմ</w:t>
            </w:r>
          </w:p>
        </w:tc>
      </w:tr>
      <w:tr>
        <w:trPr/>
        <w:tc>
          <w:tcPr>
            <w:tcW w:w="1075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Շարժիչի և դրա համակարգերի տեխնիկական արատորոշման պարտադիր միջոցները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Գազաանալիզատոր (սարք` կայծային բռնկմամբ շարժիչներով (բենզինային, գազային) ավտոտրանսպորտային միջոցների արտանետումների մակարդակների չափման համար)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ածխածնի օքսիդի (CO) պարունակությունը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մինչև 5 %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ածխաջրածինների (CH) պարունակությունը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500-4000 մլն</w:t>
            </w:r>
            <w:r>
              <w:rPr>
                <w:vertAlign w:val="superscript"/>
              </w:rPr>
              <w:t xml:space="preserve">-1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ծնկաձև լիսեռի պտտման հաճախությունը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500-3500 րոպե</w:t>
            </w:r>
            <w:r>
              <w:rPr>
                <w:vertAlign w:val="superscript"/>
              </w:rPr>
              <w:t xml:space="preserve">-1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2.5 %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Ծխաչափ (սարք` դիզելային շարժիչով ավտոտրանսպորտային միջոցների ծխայնության (դիսպերս մասնիկների) չափման համար կամ ունիվերսալ չափիչ սարք` կայծային բռնկմամբ շարժիչներով (բենզինային, գազային) և դիզելային շարժիչներով ավտոտրանսպորտային միջոցների արտանետումների մակարդակներ չափելու համար (օգտագործվում է սույն ցանկի 11-րդ կետում նշված գազաանալիզատորի և 12-րդ կետում նշված ծխաչափի փոխարեն)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լուսային հոսքի թուլացման իրական ցուցանիշը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0.2-2 մ</w:t>
            </w:r>
            <w:r>
              <w:rPr>
                <w:vertAlign w:val="superscript"/>
              </w:rPr>
              <w:t xml:space="preserve">-1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2.5 %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լուսային հոսքի թուլացման գործակիցը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5-80 %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2.5 %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ծնկաձև լիսեռի պտտման հաճախությունը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500-8000 րոպե</w:t>
            </w:r>
            <w:r>
              <w:rPr>
                <w:vertAlign w:val="superscript"/>
              </w:rPr>
              <w:t xml:space="preserve">-1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1 %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տվյալները համապատասխանաբար` ըստ սույն ցանկի 8-րդ և 9-րդ կետերի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համապատա-սխանաբար` ըստ սույն ցանկի 8-րդ և 9-րդկետերի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համապատա-սխանաբար` ըստ սույն ցանկի 8-րդ և 9-րդկետերի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Հոսաորոնիչ` տրանսպորտային միջոցի սնման գազային համակարգի հերմետիկության ստուգման համար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օդում պրոպանի (մեթանի, հեքսանի և այլնի) պարունակությունը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մինչև 20 %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2 %</w:t>
            </w:r>
          </w:p>
        </w:tc>
      </w:tr>
      <w:tr>
        <w:trPr/>
        <w:tc>
          <w:tcPr>
            <w:tcW w:w="1075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Տրանսպորտային միջոցի կառուցվածքի այլ տարրերի տեխնիկական </w:t>
            </w:r>
          </w:p>
          <w:p>
            <w:pPr/>
            <w:r>
              <w:rPr>
                <w:b w:val="1"/>
                <w:bCs w:val="1"/>
              </w:rPr>
              <w:t xml:space="preserve">արատորոշման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պարտադիր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միջոցները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Ստենդ` տրանսպորտային միջոցների ղեկային վարման շարժաբերի և կախոցքի վիճակի ստուգման համար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երկու փոխուղղահայաց ուղղություններով հարթակների տեղաշարժը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100 մմ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հարթակների տեղաշարժի առավելագույն ճիգը. ոչ պակաս` թեթև մարդատար ավտոմոբիլների համար բեռնատար ավտոմոբիլների և ավտոբուսների համար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11 ԿՆ</w:t>
            </w:r>
          </w:p>
          <w:p>
            <w:pPr/>
            <w:r>
              <w:rPr/>
              <w:t xml:space="preserve">30 ԿՆ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075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Պարտադիր գարաժային սարքավորումներ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Կոմպրեսոր` մանոմետրով, ծայրակալով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արտադրողականությունը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1 մ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  /րոպե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255" w:type="dxa"/>
            <w:noWrap/>
          </w:tcPr>
          <w:p>
            <w:pPr/>
            <w:r>
              <w:rPr/>
              <w:t xml:space="preserve">վերջնական ճնշումը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մինչև 1 ՄՊա (10 կգ/սմ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  )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Ավտոմեխանիկի գործիքների հավաքակազմ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 N 1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ՏՐԱՆՍՊՈՐՏԱՅԻՆ ՄԻՋՈՑԻ ՏԵԽՆԻԿԱԿԱՆ ՎԻՃԱԿԻ ԱՐԱՏՈՐՈՇՄԱՆ ՔԱՐՏ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945" w:type="dxa"/>
      </w:tblGrid>
      <w:tblPr>
        <w:tblW w:w="9945" w:type="dxa"/>
        <w:tblLayout w:type="autofit"/>
      </w:tblPr>
      <w:tr>
        <w:trPr/>
        <w:tc>
          <w:tcPr>
            <w:tcW w:w="9945" w:type="dxa"/>
            <w:noWrap/>
          </w:tcPr>
          <w:p>
            <w:pPr/>
            <w:r>
              <w:rPr/>
              <w:t xml:space="preserve">Տեխնիկական զննության կայանի անվանումը ________________________________</w:t>
            </w:r>
          </w:p>
          <w:p>
            <w:pPr/>
            <w:r>
              <w:rPr/>
              <w:t xml:space="preserve">Գտնվելու վայրը ________________________</w:t>
            </w:r>
          </w:p>
          <w:p>
            <w:pPr/>
            <w:r>
              <w:rPr/>
              <w:t xml:space="preserve">Տեխնիկական զննության ամսաթիվը _____ ___________ 20 թ. Հաջորդ ՏԶ______</w:t>
            </w:r>
          </w:p>
          <w:p>
            <w:pPr/>
            <w:r>
              <w:rPr/>
              <w:t xml:space="preserve">Տեխնիկական զննության փուլը` սկզբնական (կրկնակի) (ընդգծել)</w:t>
            </w:r>
          </w:p>
          <w:p>
            <w:pPr/>
            <w:r>
              <w:rPr/>
              <w:t xml:space="preserve">Տնօրինող________________________, Հաշվառման հասցե՝ ________________________,</w:t>
            </w:r>
          </w:p>
          <w:p>
            <w:pPr/>
            <w:r>
              <w:rPr/>
              <w:t xml:space="preserve">Մակնիշը ________________________, թողարկման տարեթիվը _______________</w:t>
            </w:r>
          </w:p>
          <w:p>
            <w:pPr/>
            <w:r>
              <w:rPr/>
              <w:t xml:space="preserve">Համարանիշը _____________________, Նույնականացման (VIN) համարը ____________________</w:t>
            </w:r>
          </w:p>
          <w:p>
            <w:pPr/>
            <w:r>
              <w:rPr/>
              <w:t xml:space="preserve">Հաշվառման վկայագիրը (սերիան, համարը) ____________</w:t>
            </w:r>
          </w:p>
          <w:p>
            <w:pPr/>
            <w:r>
              <w:rPr/>
              <w:t xml:space="preserve"> </w:t>
            </w:r>
          </w:p>
          <w:tbl>
            <w:tblGrid>
              <w:gridCol w:w="2430" w:type="dxa"/>
              <w:gridCol w:w="2430" w:type="dxa"/>
              <w:gridCol w:w="2430" w:type="dxa"/>
              <w:gridCol w:w="243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Արգելակային համակարգ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Բանվոր. արգելակ.</w:t>
                  </w:r>
                </w:p>
                <w:p>
                  <w:pPr/>
                  <w:r>
                    <w:rPr/>
                    <w:t xml:space="preserve">տես. արգելակ.</w:t>
                  </w:r>
                </w:p>
                <w:p>
                  <w:pPr/>
                  <w:r>
                    <w:rPr/>
                    <w:t xml:space="preserve">ուժը                         101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Անիվների արգելակ.</w:t>
                  </w:r>
                </w:p>
                <w:p>
                  <w:pPr/>
                  <w:r>
                    <w:rPr/>
                    <w:t xml:space="preserve">ուժերի անհավ.</w:t>
                  </w:r>
                </w:p>
                <w:p>
                  <w:pPr/>
                  <w:r>
                    <w:rPr/>
                    <w:t xml:space="preserve">                               102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Կայան.արգելակ. տես. արգելակ. ուժ   </w:t>
                  </w:r>
                </w:p>
                <w:p>
                  <w:pPr/>
                  <w:r>
                    <w:rPr/>
                    <w:t xml:space="preserve">                              103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Բանվոր. արգելակ.</w:t>
                  </w:r>
                </w:p>
                <w:p>
                  <w:pPr/>
                  <w:r>
                    <w:rPr/>
                    <w:t xml:space="preserve">գործարկման ժամ.</w:t>
                  </w:r>
                </w:p>
                <w:p>
                  <w:pPr/>
                  <w:r>
                    <w:rPr/>
                    <w:t xml:space="preserve">                               104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Օժանդակ արգելակ. համակարգ</w:t>
                  </w:r>
                </w:p>
                <w:p>
                  <w:pPr/>
                  <w:r>
                    <w:rPr/>
                    <w:t xml:space="preserve">                               105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Արգելակ. տարրերի</w:t>
                  </w:r>
                </w:p>
                <w:p>
                  <w:pPr/>
                  <w:r>
                    <w:rPr/>
                    <w:t xml:space="preserve">վիճակը</w:t>
                  </w:r>
                </w:p>
                <w:p>
                  <w:pPr/>
                  <w:r>
                    <w:rPr/>
                    <w:t xml:space="preserve">                               106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Ղեկային կառավարում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Ղեկանիվի գումարային խաղը                     201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Դետալների տեղաշարժ խաղ, սևեռում         202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Ղեկային</w:t>
                  </w:r>
                </w:p>
                <w:p>
                  <w:pPr/>
                  <w:r>
                    <w:rPr/>
                    <w:t xml:space="preserve">ուժեղարարի           203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Ղեկային կառավար.</w:t>
                  </w:r>
                </w:p>
                <w:p>
                  <w:pPr/>
                  <w:r>
                    <w:rPr/>
                    <w:t xml:space="preserve">տարրերի վիճակը   204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Արտաքին լուսավորման սարքեր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Հեռահար, մոտակա լույսի լապտերներ    301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Հակամառախուղ. լապտերներ            302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Արգելակման</w:t>
                  </w:r>
                </w:p>
                <w:p>
                  <w:pPr/>
                  <w:r>
                    <w:rPr/>
                    <w:t xml:space="preserve">ազդանշաններ       303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Եզրաչափային</w:t>
                  </w:r>
                </w:p>
                <w:p>
                  <w:pPr/>
                  <w:r>
                    <w:rPr/>
                    <w:t xml:space="preserve">լույսեր 304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Շրջադարձի ցուցիչ վթար. ազդար.       305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Հետընթացի լույսեր</w:t>
                  </w:r>
                </w:p>
                <w:p>
                  <w:pPr/>
                  <w:r>
                    <w:rPr/>
                    <w:t xml:space="preserve">                              306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Համարանիշի լուսավոր. լապտեր  307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Լուսային անդրա-</w:t>
                  </w:r>
                </w:p>
                <w:p>
                  <w:pPr/>
                  <w:r>
                    <w:rPr/>
                    <w:t xml:space="preserve">դարձիչներ             308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Ավտոգնացքի նշաններ                                309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Հեռահար, մոտակա լույսի լապտերների ուժի ստուգում         310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Հողմապակու մաքրիչներ, լվացներ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Ապակեմաքրիչներ</w:t>
                  </w:r>
                </w:p>
                <w:p>
                  <w:pPr/>
                  <w:r>
                    <w:rPr/>
                    <w:t xml:space="preserve">                               401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Ապակելվացներ</w:t>
                  </w:r>
                </w:p>
                <w:p>
                  <w:pPr/>
                  <w:r>
                    <w:rPr/>
                    <w:t xml:space="preserve">                              402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Անիվներ և դողեր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Պահպանաշերտի նախշանկար           501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Դողերի վնասվածք     502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Դողերի տեղակայումը</w:t>
                  </w:r>
                </w:p>
                <w:p>
                  <w:pPr/>
                  <w:r>
                    <w:rPr/>
                    <w:t xml:space="preserve">                              503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Անվահեծեր և սկավառակներ       504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Շարժիչը և դրա համակարգերը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CO-ի և CH-ի պարունակությունը  601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Դիզել. շարժիչի ծխայնությունը        602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Սնման համակարգը</w:t>
                  </w:r>
                </w:p>
                <w:p>
                  <w:pPr/>
                  <w:r>
                    <w:rPr/>
                    <w:t xml:space="preserve">                             603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Արտածման համակարգը           604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Կառուցվածքի այլ տարրեր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Տրանսպորտ. միջոց. մակնիշավորում      701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Հետին տեսանելիության հայելիներ               702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Ապակիների տեսանելի թափանցիկ.</w:t>
                  </w:r>
                </w:p>
                <w:p>
                  <w:pPr/>
                  <w:r>
                    <w:rPr/>
                    <w:t xml:space="preserve">                              703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Կախոցքի, կարդան. փոխանց. տարրեր</w:t>
                  </w:r>
                </w:p>
                <w:p>
                  <w:pPr/>
                  <w:r>
                    <w:rPr/>
                    <w:t xml:space="preserve">                              704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Վարորդի նստարանի մեխանիզմ</w:t>
                  </w:r>
                </w:p>
                <w:p>
                  <w:pPr/>
                  <w:r>
                    <w:rPr/>
                    <w:t xml:space="preserve">                              705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Վթարային ելքը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                            706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Ապակե տաքացուց. և փչահար սարք</w:t>
                  </w:r>
                </w:p>
                <w:p>
                  <w:pPr/>
                  <w:r>
                    <w:rPr/>
                    <w:t xml:space="preserve">                              707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Դեղատուփ, կրակմարիչ, կանգառի նշան                      708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Անվտանգության</w:t>
                  </w:r>
                </w:p>
                <w:p>
                  <w:pPr/>
                  <w:r>
                    <w:rPr/>
                    <w:t xml:space="preserve">գոտիներ</w:t>
                  </w:r>
                </w:p>
                <w:p>
                  <w:pPr/>
                  <w:r>
                    <w:rPr/>
                    <w:t xml:space="preserve">                              709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Ձայնային ազդանշանը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                             710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Վազքաչափ, պտու-տաչափ, այլ սարք</w:t>
                  </w:r>
                </w:p>
                <w:p>
                  <w:pPr/>
                  <w:r>
                    <w:rPr/>
                    <w:t xml:space="preserve">                              711</w:t>
                  </w:r>
                </w:p>
              </w:tc>
            </w:tr>
            <w:tr>
              <w:trPr/>
              <w:tc>
                <w:tcPr>
                  <w:tcW w:w="24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Այլ աշխատանքներ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Կառուցվածքի փոփոխություն        801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Մասնագիտացված տրանսպորտ          802</w:t>
                  </w:r>
                </w:p>
              </w:tc>
              <w:tc>
                <w:tcPr>
                  <w:tcW w:w="24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ԴԻՏՈՂՈՒԹՅՈՒՆՆԵՐ ՍՏՈՒԳՄԱՆ ԺԱՄԱՆԱԿ ՀԱՅՏՆԱԲԵՐՎԱԾ ԱՆՍԱՐՔՈՒԹՅՈՒՆՆԵՐԻ ՄԱՍԻՆ ԵՎ ԼՐԱՑՈՒՑԻՉ ՏԵՂԵԿՈՒԹՅՈՒՆՆԵՐ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tbl>
            <w:tblGrid>
              <w:gridCol w:w="973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973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 </w:t>
                  </w:r>
                </w:p>
              </w:tc>
            </w:tr>
            <w:tr>
              <w:trPr/>
              <w:tc>
                <w:tcPr>
                  <w:tcW w:w="973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 </w:t>
                  </w:r>
                </w:p>
              </w:tc>
            </w:tr>
          </w:tbl>
          <w:tbl>
            <w:tblGrid>
              <w:gridCol w:w="4725" w:type="dxa"/>
              <w:gridCol w:w="150" w:type="dxa"/>
              <w:gridCol w:w="1995" w:type="dxa"/>
              <w:gridCol w:w="330" w:type="dxa"/>
              <w:gridCol w:w="3135" w:type="dxa"/>
              <w:gridCol w:w="15" w:type="dxa"/>
            </w:tblGrid>
            <w:tblPr>
              <w:tblW w:w="10335" w:type="dxa"/>
              <w:tblLayout w:type="autofit"/>
            </w:tblPr>
            <w:tr>
              <w:trPr/>
              <w:tc>
                <w:tcPr>
                  <w:tcW w:w="4875" w:type="dxa"/>
                  <w:gridSpan w:val="2"/>
                  <w:noWrap/>
                </w:tcPr>
                <w:p>
                  <w:pPr/>
                  <w:r>
                    <w:rPr/>
                    <w:t xml:space="preserve">Տրանսպորտային միջոցի տեխնիկական</w:t>
                  </w:r>
                </w:p>
                <w:p>
                  <w:pPr/>
                  <w:r>
                    <w:rPr/>
                    <w:t xml:space="preserve">վիճակի հսկիչ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Կ.Տ.</w:t>
                  </w:r>
                </w:p>
              </w:tc>
              <w:tc>
                <w:tcPr>
                  <w:tcW w:w="2325" w:type="dxa"/>
                  <w:gridSpan w:val="2"/>
                  <w:noWrap/>
                </w:tcPr>
                <w:p>
                  <w:pPr/>
                  <w:r>
                    <w:rPr/>
                    <w:t xml:space="preserve">_____________</w:t>
                  </w:r>
                </w:p>
                <w:p>
                  <w:pPr/>
                  <w:r>
                    <w:rPr/>
                    <w:t xml:space="preserve">(ստորագրությունը)</w:t>
                  </w:r>
                </w:p>
              </w:tc>
              <w:tc>
                <w:tcPr>
                  <w:tcW w:w="3135" w:type="dxa"/>
                  <w:noWrap/>
                </w:tcPr>
                <w:p>
                  <w:pPr/>
                  <w:r>
                    <w:rPr/>
                    <w:t xml:space="preserve">______________________</w:t>
                  </w:r>
                </w:p>
                <w:p>
                  <w:pPr/>
                  <w:r>
                    <w:rPr/>
                    <w:t xml:space="preserve">  (անունը, ազգանունը)</w:t>
                  </w:r>
                </w:p>
              </w:tc>
              <w:tc>
                <w:tcPr>
                  <w:tcW w:w="1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725" w:type="dxa"/>
                  <w:noWrap/>
                </w:tcPr>
                <w:p>
                  <w:pPr/>
                  <w:r>
                    <w:rPr/>
                    <w:t xml:space="preserve">Տրանսպորտային միջոցը տնօրինող</w:t>
                  </w:r>
                </w:p>
              </w:tc>
              <w:tc>
                <w:tcPr>
                  <w:tcW w:w="2130" w:type="dxa"/>
                  <w:gridSpan w:val="2"/>
                  <w:noWrap/>
                </w:tcPr>
                <w:p>
                  <w:pPr/>
                  <w:r>
                    <w:rPr/>
                    <w:t xml:space="preserve">______________</w:t>
                  </w:r>
                </w:p>
                <w:p>
                  <w:pPr/>
                  <w:r>
                    <w:rPr/>
                    <w:t xml:space="preserve">(ստորագրությունը)</w:t>
                  </w:r>
                </w:p>
              </w:tc>
              <w:tc>
                <w:tcPr>
                  <w:tcW w:w="3480" w:type="dxa"/>
                  <w:gridSpan w:val="3"/>
                  <w:noWrap/>
                </w:tcPr>
                <w:p>
                  <w:pPr/>
                  <w:r>
                    <w:rPr/>
                    <w:t xml:space="preserve">_______________________</w:t>
                  </w:r>
                </w:p>
                <w:p>
                  <w:pPr/>
                  <w:r>
                    <w:rPr/>
                    <w:t xml:space="preserve">  (անունը, ազգանունը)</w:t>
                  </w:r>
                </w:p>
              </w:tc>
            </w:tr>
            <w:tr>
              <w:trPr/>
              <w:tc>
                <w:tcPr>
                  <w:tcW w:w="472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99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3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13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92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6B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9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5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063D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1A76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DEEF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89CB3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B5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62FA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0E0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E2DEC2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D0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4A3FBD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20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2026-03-31T00:15:56+04:00</dcterms:created>
  <dcterms:modified xsi:type="dcterms:W3CDTF">2026-03-31T00:15:56+04:00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