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ՔԱՂԱՔԱՇԻՆՈՒԹՅԱՆ ՆԱԽԱՐԱՐԻ  2014 ԹՎԱԿԱՆԻ ՀՈԿՏԵՄԲԵՐԻ 14-Ի N 263-Ն ՀՐԱՄԱՆՈՒՄ ՓՈՓՈԽՈՒԹՅՈՒՆՆԵՐ  ԿԱՏԱՐԵԼՈՒ ՄԱՍԻՆ» ՀԱՅԱՍՏԱՆԻ ՀԱՆՐԱՊԵՏՈՒԹՅԱՆ ՔԱՂԱՔԱՇԻՆՈՒԹՅԱՆ ԿՈՄԻՏԵԻ ՆԱԽԱԳԱՀԻ ՀՐԱՄԱՆԻ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/>
        <w:t xml:space="preserve"> ՔԱՂԱՔԱՇԻՆՈՒԹՅԱՆ </w:t>
      </w:r>
      <w:r>
        <w:rPr>
          <w:b w:val="1"/>
          <w:bCs w:val="1"/>
        </w:rPr>
        <w:t xml:space="preserve">ԿՈՄԻՏԵ</w:t>
      </w:r>
    </w:p>
    <w:p>
      <w:pPr>
        <w:jc w:val="center"/>
      </w:pPr>
      <w:r>
        <w:rPr>
          <w:b w:val="1"/>
          <w:bCs w:val="1"/>
        </w:rPr>
        <w:t xml:space="preserve">ՆԱԽԱԳԱՀ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 Ր Ա Մ Ա Ն</w:t>
      </w:r>
    </w:p>
    <w:p>
      <w:pPr>
        <w:jc w:val="center"/>
      </w:pPr>
      <w:r>
        <w:rPr/>
        <w:t xml:space="preserve">             «____ » ___________2021 թ.                                                   </w:t>
      </w:r>
      <w:r>
        <w:rPr>
          <w:b w:val="1"/>
          <w:bCs w:val="1"/>
        </w:rPr>
        <w:t xml:space="preserve">N</w:t>
      </w:r>
      <w:r>
        <w:rPr/>
        <w:t xml:space="preserve">____________ 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ՔԱՂԱՔԱՇԻՆՈՒԹՅԱՆ ՆԱԽԱՐԱՐԻ </w:t>
      </w:r>
    </w:p>
    <w:p>
      <w:pPr>
        <w:jc w:val="center"/>
      </w:pPr>
      <w:r>
        <w:rPr>
          <w:b w:val="1"/>
          <w:bCs w:val="1"/>
        </w:rPr>
        <w:t xml:space="preserve">2014 ԹՎԱԿԱՆԻ ՀՈԿՏԵՄԲԵՐԻ 14-Ի N 263-Ն ՀՐԱՄԱՆՈՒՄ ՓՈՓՈԽՈՒԹՅՈՒՆՆԵՐ </w:t>
      </w:r>
      <w:r>
        <w:rPr>
          <w:b w:val="1"/>
          <w:bCs w:val="1"/>
        </w:rPr>
        <w:t xml:space="preserve">ԿԱՏԱՐԵԼՈՒ ՄԱՍԻՆ</w:t>
      </w:r>
    </w:p>
    <w:p>
      <w:pPr>
        <w:jc w:val="center"/>
      </w:pPr>
      <w:r>
        <w:rPr>
          <w:b w:val="1"/>
          <w:bCs w:val="1"/>
        </w:rPr>
        <w:t xml:space="preserve">_________________________________________________________________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  Հիմք ընդունելով «Քաղաքաշինության մասին» Հայաստանի Հանրապետության օրենքի 10.1-րդ հոդվածի 3-րդ մասի 5-րդ և 5.1-րդ կետերը, 16-րդ հոդվածը, «Նորմատիվ իրավական ակտերի մասին» Հայաստանի Հանրապետության օրենքի 33-րդ հոդվածի 3-րդ մասը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ՀՐԱՄԱՅՈՒՄ ԵՄ`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   Հայաստանի Հանրապետության քաղաքաշինության նախարարի 2014 թվականի հոկտեմբերի 14-ի «ՀՀՇՆ 30-01-2014 «Քաղաքաշինություն. Քաղաքային և գյուղական բնակավայրերի հատակագծում և կառուցապատում» շինարարական նորմերը հաստատելու մասին» N 263-Ն հրամանում կատարել հետևյալ փոփոխությունները՝</w:t>
      </w:r>
    </w:p>
    <w:p>
      <w:pPr/>
      <w:r>
        <w:rPr/>
        <w:t xml:space="preserve">1. հրամանիհավելվածի 72-րդկետի «բնակելիևհասարակականշենքերիպատուհաններից» բառերըփոխարինել «բազմաբնակարան բնակելիևհասարակականշենքերիպատուհաններից, իսկանհատականբնակելիտներիդեպքում՝հողամասիսահմանագծից, » բառերով,</w:t>
      </w:r>
    </w:p>
    <w:p>
      <w:pPr/>
      <w:r>
        <w:rPr/>
        <w:t xml:space="preserve">2. hրամանի հավելվածի 305-րդ կետը շարադրել հետևյալ խմբագրությամբ. «305. Ավտոմոբիլների տեխնիկական սպասարկման կայանները պետք է նախատեսել.</w:t>
      </w:r>
    </w:p>
    <w:p>
      <w:pPr/>
      <w:r>
        <w:rPr/>
        <w:t xml:space="preserve">1) քաղաքային և գյուղական բնակավայրերի (բնակելի թաղամասերում) ավտոտեխսպասարկման մեկ «փոքր» կետում՝ մինչև 10 (ներառյալ)  մարդատար ավտոմոբիլների,</w:t>
      </w:r>
    </w:p>
    <w:p>
      <w:pPr/>
      <w:r>
        <w:rPr/>
        <w:t xml:space="preserve">2) քաղաքային և գյուղական բնակավայրերի ծայրամասերում տեղակայվող ավտոտեխսպասարկման մեկ «միջին» կետում՝ 11-30 մարդատար ավտոմոբիլների,</w:t>
      </w:r>
    </w:p>
    <w:p>
      <w:pPr/>
      <w:r>
        <w:rPr/>
        <w:t xml:space="preserve">3) հանրապետական նշանակության ճանապարհների հետ քաղաքային և գյուղական բնակավայրերի սահմանագծերի հատման վայրերում տեղակայվող ավտոտեխսպասարկման մեկ «խոշոր» կետում՝ 30-ից ավելի մարդատար ավտոմոբիլների հաշվարկով:</w:t>
      </w:r>
    </w:p>
    <w:p>
      <w:pPr/>
      <w:r>
        <w:rPr/>
        <w:t xml:space="preserve">     Ավտոտեխսպասարկման կետերի  համար հատկացվող հողամասերի չափերն անհրաժեշտ է ընդունել  սույն շինարարական նորմերի 33-րդ աղյուսակում տրված ցուցանիշի համաձայն՝ որը հաշվարկված է  ավտոտեխսպասարկման փոքր, միջին և խոշոր կայանների (կետերի)  համար:</w:t>
      </w:r>
    </w:p>
    <w:p>
      <w:pPr/>
      <w:r>
        <w:rPr/>
        <w:t xml:space="preserve">        Աղյուսակ 33</w:t>
      </w:r>
    </w:p>
    <w:p>
      <w:pPr/>
      <w:r>
        <w:rPr/>
        <w:t xml:space="preserve"> </w:t>
      </w:r>
    </w:p>
    <w:tbl>
      <w:tblGrid>
        <w:gridCol w:w="645" w:type="dxa"/>
        <w:gridCol w:w="4140" w:type="dxa"/>
        <w:gridCol w:w="4050" w:type="dxa"/>
      </w:tblGrid>
      <w:tblPr>
        <w:tblW w:w="8835" w:type="dxa"/>
        <w:tblLayout w:type="autofit"/>
      </w:tblPr>
      <w:tr>
        <w:trPr/>
        <w:tc>
          <w:tcPr>
            <w:tcW w:w="645" w:type="dxa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4140" w:type="dxa"/>
            <w:noWrap/>
          </w:tcPr>
          <w:p>
            <w:pPr/>
            <w:r>
              <w:rPr/>
              <w:t xml:space="preserve">Ավտոտեխսպասարկման կետերի քանակը՝ ըստ փոքր, միջին և խոշոր կայանների</w:t>
            </w:r>
          </w:p>
        </w:tc>
        <w:tc>
          <w:tcPr>
            <w:tcW w:w="4050" w:type="dxa"/>
            <w:noWrap/>
          </w:tcPr>
          <w:p>
            <w:pPr/>
            <w:r>
              <w:rPr/>
              <w:t xml:space="preserve">Հողամասի առավելագույն մակերեսը՝ ըստ ավտոմոբիլների քանակի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4140" w:type="dxa"/>
            <w:noWrap/>
          </w:tcPr>
          <w:p>
            <w:pPr/>
            <w:r>
              <w:rPr/>
              <w:t xml:space="preserve">Սպասարկման «փոքր» կետ՝ մինչև 10 ավտոմոբիլների համար</w:t>
            </w:r>
          </w:p>
        </w:tc>
        <w:tc>
          <w:tcPr>
            <w:tcW w:w="4050" w:type="dxa"/>
            <w:noWrap/>
          </w:tcPr>
          <w:p>
            <w:pPr/>
            <w:r>
              <w:rPr/>
              <w:t xml:space="preserve">0.015հա (150քմ՝ 10 ավտոմոբիլի հաշվարկով)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4140" w:type="dxa"/>
            <w:noWrap/>
          </w:tcPr>
          <w:p>
            <w:pPr/>
            <w:r>
              <w:rPr/>
              <w:t xml:space="preserve">Սպասարկման «միջին» կետ՝ 11-30 ավտոմոբիլների համար</w:t>
            </w:r>
          </w:p>
        </w:tc>
        <w:tc>
          <w:tcPr>
            <w:tcW w:w="4050" w:type="dxa"/>
            <w:noWrap/>
          </w:tcPr>
          <w:p>
            <w:pPr/>
            <w:r>
              <w:rPr/>
              <w:t xml:space="preserve">0.0165հա (165քմ) - 0.0450հա (450քմ)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4140" w:type="dxa"/>
            <w:noWrap/>
          </w:tcPr>
          <w:p>
            <w:pPr/>
            <w:r>
              <w:rPr/>
              <w:t xml:space="preserve">Սպասարկման «խոշոր» կետ՝ 30-ից ավել ավտոմոբիլների համար</w:t>
            </w:r>
          </w:p>
        </w:tc>
        <w:tc>
          <w:tcPr>
            <w:tcW w:w="4050" w:type="dxa"/>
            <w:noWrap/>
          </w:tcPr>
          <w:p>
            <w:pPr/>
            <w:r>
              <w:rPr/>
              <w:t xml:space="preserve">Ըստ 1-ին և 2-րդ կետերում ներկայացված հաշվարկի մեթոդաբանության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»:</w:t>
      </w:r>
    </w:p>
    <w:p>
      <w:pPr/>
      <w:r>
        <w:rPr/>
        <w:t xml:space="preserve"> </w:t>
      </w:r>
    </w:p>
    <w:p>
      <w:pPr/>
      <w:r>
        <w:rPr/>
        <w:t xml:space="preserve">3. Սույնհրամաննուժիմեջէմտնումպաշտոնականհրապարակմանըհաջորդողօրվանից: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                                                                                                Ա. ՂՈՒԼԱՐՅԱՆ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2026-03-31T06:20:50+04:00</dcterms:created>
  <dcterms:modified xsi:type="dcterms:W3CDTF">2026-03-31T06:20:50+04:00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