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ՆԱԽԱԴՊՐՈՑԱԿԱՆ ՈՒՍՈՒՄՆԱԿԱՆ ՀԱՍՏԱՏՈՒԹՅՈՒՆՆԵՐԻ` ՊԵՏԱԿԱՆ ԲՅՈՒՋԵԻՑ ՄԵԿ ՍԱՆԻ ՀԱՇՎԱՐԿՈՎ ՖԻՆԱՆՍԱՎՈՐՄԱՆ ԿԱՐԳԸ ՍԱՀՄԱՆԵԼՈՒ ՄԱՍԻՆ</w:t>
      </w:r>
      <w:bookmarkEnd w:id="0"/>
    </w:p>
    <w:p>
      <w:pPr>
        <w:pStyle w:val="Heading4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«_____» 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  N ____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ՆԱԽԱԴՊՐՈՑԱԿԱՆ ՈՒՍՈՒՄՆԱԿԱՆ ՀԱՍՏԱՏՈՒԹՅՈՒՆՆԵՐԻ` ՊԵՏԱԿԱՆ ԲՅՈՒՋԵԻՑ ՄԵԿ ՍԱՆԻ ՀԱՇՎԱՐԿՈՎ ՖԻՆԱՆՍԱՎՈՐՄԱՆ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 Ղեկավարվելով «Նախադպրոցական կրթության մասին» Հայաստանի Հանրապետության օրենքի 23-րդ հոդվածի 1-ին մասի 7-րդ կետով՝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է նախադպրոցական ուսումնական հաստատությունների` պետական բյուջեից մեկ սանի հաշվարկով ֆինանսավորման կարգը՝ համաձայն հավելվածի:</w:t>
      </w:r>
    </w:p>
    <w:p>
      <w:pPr>
        <w:jc w:val="both"/>
      </w:pPr>
      <w:r>
        <w:rPr/>
        <w:t xml:space="preserve">       2․ Սահմանել, որ սույն որոշման 1-ին կետով սահմանվող պետական բյուջեից մեկ սանի հաշվարկով ֆինանսավորման կարգով հաշվարկվող հաստատության տարեկան ֆինանսավորման չափի հաշվարկման բանաձևը համայնքային նախադպրոցական ուսումնական հաստատությունների համար ունի կողմնորոշիչ բնույթ։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հա­ջորդող օրվանից:</w:t>
      </w:r>
    </w:p>
    <w:p>
      <w:pPr/>
      <w:r>
        <w:rPr/>
        <w:t xml:space="preserve">      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  <w:br/>
      <w:r>
        <w:rPr/>
        <w:t xml:space="preserve"> ՀՀ կառավարության 2021 թվականի</w:t>
      </w:r>
      <w:br/>
      <w:r>
        <w:rPr/>
        <w:t xml:space="preserve"> ---------------- -----------N --------------Ն որոշման</w:t>
      </w:r>
    </w:p>
    <w:p>
      <w:pPr>
        <w:jc w:val="center"/>
      </w:pPr>
      <w:br/>
      <w:r>
        <w:rPr>
          <w:b w:val="1"/>
          <w:bCs w:val="1"/>
        </w:rPr>
        <w:t xml:space="preserve"> ՆԱԽԱԴՊՐՈՑԱԿԱՆ ՈՒՍՈՒՄՆԱԿԱՆ ՀԱՍՏԱՏՈՒԹՅՈՒՆՆԵՐԻ` ՊԵՏԱԿԱՆ ԲՅՈՒՋԵԻՑ ՄԵԿ ՍԱՆԻ ՀԱՇՎԱՐԿՈՎ ՖԻՆԱՆՍԱՎՈՐՄԱՆ</w:t>
      </w:r>
      <w:r>
        <w:rPr>
          <w:b w:val="1"/>
          <w:bCs w:val="1"/>
        </w:rPr>
        <w:t xml:space="preserve">Կ Ա Ր Գ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կարգավորվում են նախադպրոցականուսումնական հաստատությունների (այսուհետ` հաստատություն)` մեկ սանի հաշվարկով Հայաստանի Հանրապետության պետական բյուջեի միջոցներից ֆինանսավորման հետ կապված հարաբերությունները, այդ թվում՝ կրթության և զարգացման առանձնահատուկ պայմանների ապահովման համար անհրաժեշտ ֆինանսավորման բարձրացված չափաքանակը: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Հաստատությանը պետական բյուջեից մեկ սանի հաշվարկով ֆինանսավորումն իրականացվում է հետևյալ խբերի սաների համար.</w:t>
      </w:r>
    </w:p>
    <w:p>
      <w:pPr/>
      <w:r>
        <w:rPr/>
        <w:t xml:space="preserve">1) 2022 թվականի սեպտեմբերի 1-ից՝ սոցիալական գնահատման համակարգում հաշվառված և 28 և ավելի անապահովության միավոր ունեցող ընտանիքի անդամ հանդիսացող երեխաները,</w:t>
      </w:r>
    </w:p>
    <w:p>
      <w:pPr/>
      <w:r>
        <w:rPr/>
        <w:t xml:space="preserve"> 2) 2023 թվականի սեպտեմբերի 1-ից՝ կրթության և զարգացման առանձնահատուկ պայմանների կարիք ունեցող երեխաները,</w:t>
      </w:r>
    </w:p>
    <w:p>
      <w:pPr/>
      <w:r>
        <w:rPr/>
        <w:t xml:space="preserve">3) 2024 թվականի սեպտեմբերի 1-ից՝ երեք և ավելի երեխա ունեցող ծնողի (ծնողների) երեխաները,</w:t>
      </w:r>
    </w:p>
    <w:p>
      <w:pPr/>
      <w:r>
        <w:rPr/>
        <w:t xml:space="preserve">4) 2025 թվականի սեպտեմբերի 1-ից՝ զինծառայող ծնողի (ծնողների) երեխաները։</w:t>
      </w:r>
    </w:p>
    <w:p>
      <w:pPr/>
      <w:r>
        <w:rPr/>
        <w:t xml:space="preserve">                                                                         </w:t>
      </w:r>
    </w:p>
    <w:p>
      <w:pPr>
        <w:numPr>
          <w:ilvl w:val="0"/>
          <w:numId w:val="6"/>
        </w:numPr>
      </w:pPr>
      <w:r>
        <w:rPr/>
        <w:t xml:space="preserve">3. Հաստատությանը պետական բյուջեից մեկ սանի հաշվարկով ֆինանսավորումն իրականացնելու նպատակով հաստատության կառավարումն իրականացնող լիազոր մարմինը հավաքագրում և բյուջետային հայտ կազմելու նպատակով տարածքային կառավարման մարմին (Երևանի քաղաքապետարան) է ներկայացնում համապատասխան տեղեկատվություն՝ սույն կարգի 2-րդ կետում նշված խմբերում ընդգրկվող սաների մասին։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4. Տարածքային կառավարման և ենթակառուցվածքների նախարարությունը սույն կարգի 3-րդ կետում նշված տեղեկատվության հիման վրա պլանավորում և համապատասխան միջոցներ է նախատեսում Հայաստանի Հանրապետության պետական բյուջեի հաջորդ տարվա նախագծում։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Պետական բյուջեից մեկ սանի հաշվարկով ֆինանսավորման գումարը որոշվում է տվյալ Հաստատության տարեկան ֆինանսավորման չափը բաժանելով այդ հաստատության սաների միջին տարեկան քանակի վրա, որը հաշվարկվում է հունվարի 1-ի քանակի կրկնապատիկի և սեպտեմբերի 1-ի քանակի հանրագումարը հարաբերելով 3-ի։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Հաստատության տարեկան ֆինանսավորման չափը որոշվում է հետևյալ բանաձևով.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ՀՏֆ = (ԱԱֆ + ԲԼլ) x 12 + Պծ + ՍԳ</w:t>
      </w:r>
    </w:p>
    <w:p>
      <w:pPr/>
      <w:r>
        <w:rPr/>
        <w:t xml:space="preserve"> </w:t>
      </w:r>
    </w:p>
    <w:p>
      <w:pPr/>
      <w:r>
        <w:rPr/>
        <w:t xml:space="preserve">որտեղ՝</w:t>
      </w:r>
    </w:p>
    <w:p>
      <w:pPr/>
      <w:r>
        <w:rPr>
          <w:b w:val="1"/>
          <w:bCs w:val="1"/>
        </w:rPr>
        <w:t xml:space="preserve">ՀՏֆ</w:t>
      </w:r>
      <w:r>
        <w:rPr/>
        <w:t xml:space="preserve">-ն հաստատության տարեկան ֆինանսավորման չափն է,</w:t>
      </w:r>
    </w:p>
    <w:p>
      <w:pPr/>
      <w:r>
        <w:rPr>
          <w:b w:val="1"/>
          <w:bCs w:val="1"/>
        </w:rPr>
        <w:t xml:space="preserve">ԱԱֆ</w:t>
      </w:r>
      <w:r>
        <w:rPr/>
        <w:t xml:space="preserve">-ն հաստատության անձնակազմի ամսական աշխատավարձային ֆոնդն է,</w:t>
      </w:r>
    </w:p>
    <w:p>
      <w:pPr/>
      <w:r>
        <w:rPr>
          <w:b w:val="1"/>
          <w:bCs w:val="1"/>
        </w:rPr>
        <w:t xml:space="preserve">ԲԼլ</w:t>
      </w:r>
      <w:r>
        <w:rPr/>
        <w:t xml:space="preserve">-ն բարձրլեռնային բնակավայրերի շարքում դասվող բնակավայրերում տեղակայված հաստատությունների աշխատողներին բարձրլեռնային վայրերում աշխատելու համար տրվող լրավճարն է,</w:t>
      </w:r>
    </w:p>
    <w:p>
      <w:pPr/>
      <w:r>
        <w:rPr>
          <w:b w:val="1"/>
          <w:bCs w:val="1"/>
        </w:rPr>
        <w:t xml:space="preserve">Պծ</w:t>
      </w:r>
      <w:r>
        <w:rPr/>
        <w:t xml:space="preserve">-ն հաստատության պահպանման տարեկան ծախսերն են,</w:t>
      </w:r>
    </w:p>
    <w:p>
      <w:pPr/>
      <w:r>
        <w:rPr>
          <w:b w:val="1"/>
          <w:bCs w:val="1"/>
        </w:rPr>
        <w:t xml:space="preserve">ՍԳ</w:t>
      </w:r>
      <w:r>
        <w:rPr/>
        <w:t xml:space="preserve">-ն սննդի տարեկան գումարն է: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Հաստատության անձնակազմի ամսական աշխատավարձային ֆոնդը (ԱԱֆ-ն) հաշվարկվում է Կառավարության կողմից սահմանված պետական և համայնքային նախադպրոցական ուսումնական հաստատությունների վարչական, մանկավարժական և ուսումնաօժանդակ կազմի վարձատրության խմբերի դասակարգման չափանիշներին համապատասխան՝ Հաստատության վարչական, մանկավարժական և ուսումնաօժանդակ կազմի վարձատրության խմբերի մեկ դրույքի համար բազային աշխատավարձի նկատմամբ կիրառելով հետևյալ գործակիցները.</w:t>
      </w:r>
    </w:p>
    <w:p>
      <w:pPr/>
      <w:r>
        <w:rPr/>
        <w:t xml:space="preserve"> </w:t>
      </w:r>
    </w:p>
    <w:tbl>
      <w:tblGrid>
        <w:gridCol w:w="2550" w:type="dxa"/>
        <w:gridCol w:w="5955" w:type="dxa"/>
      </w:tblGrid>
      <w:tblPr>
        <w:tblW w:w="8505" w:type="dxa"/>
        <w:tblLayout w:type="autofit"/>
      </w:tblPr>
      <w:tr>
        <w:trPr/>
        <w:tc>
          <w:tcPr>
            <w:tcW w:w="2550" w:type="dxa"/>
            <w:noWrap/>
          </w:tcPr>
          <w:p>
            <w:pPr/>
            <w:r>
              <w:rPr/>
              <w:t xml:space="preserve">վարձատրության խումբը</w:t>
            </w:r>
          </w:p>
        </w:tc>
        <w:tc>
          <w:tcPr>
            <w:tcW w:w="5955" w:type="dxa"/>
            <w:noWrap/>
          </w:tcPr>
          <w:p>
            <w:pPr/>
            <w:r>
              <w:rPr/>
              <w:t xml:space="preserve">վարձատրության խմբի համար կիրառվող գործակիցը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55" w:type="dxa"/>
            <w:noWrap/>
          </w:tcPr>
          <w:p>
            <w:pPr/>
            <w:r>
              <w:rPr/>
              <w:t xml:space="preserve">1.0000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955" w:type="dxa"/>
            <w:noWrap/>
          </w:tcPr>
          <w:p>
            <w:pPr/>
            <w:r>
              <w:rPr/>
              <w:t xml:space="preserve">1.1109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955" w:type="dxa"/>
            <w:noWrap/>
          </w:tcPr>
          <w:p>
            <w:pPr/>
            <w:r>
              <w:rPr/>
              <w:t xml:space="preserve">1.2219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955" w:type="dxa"/>
            <w:noWrap/>
          </w:tcPr>
          <w:p>
            <w:pPr/>
            <w:r>
              <w:rPr/>
              <w:t xml:space="preserve">1.2347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955" w:type="dxa"/>
            <w:noWrap/>
          </w:tcPr>
          <w:p>
            <w:pPr/>
            <w:r>
              <w:rPr/>
              <w:t xml:space="preserve">1.3183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1) Հաստատության վարչական, մանկավարժական և ուսումնաօժանդակ կազմի վարձատրության խմբերի մեկ դրույքի համար բազային աշխատավարձը ընդունվում է հավասար՝ 93300 ՀՀ դրամ,</w:t>
      </w:r>
    </w:p>
    <w:p>
      <w:pPr/>
      <w:r>
        <w:rPr/>
        <w:t xml:space="preserve">2) 5 և ավելի խումբ ունեցող Հաստատության տնօրենի մեկ դրույք աշխատավարձի համար կիրառելի է նաև 1,15 գործակիցը, 10 և ավելի խումբ ունեցող Հաստատության տնօրենի մեկ դրույք աշխատավարձի համար՝ նաև 1,3 գործակիցը,</w:t>
      </w:r>
    </w:p>
    <w:p>
      <w:pPr/>
      <w:r>
        <w:rPr/>
        <w:t xml:space="preserve">3) 10 և ավելի խումբ ունեցող Հաստատության գլխավոր հաշվապահի և բուժքույրի մեկ դրույք աշխատավարձի համար կիրառելի է նաև 1,15 գործակիցը։</w:t>
      </w:r>
    </w:p>
    <w:p>
      <w:pPr>
        <w:numPr>
          <w:ilvl w:val="0"/>
          <w:numId w:val="11"/>
        </w:numPr>
      </w:pPr>
      <w:r>
        <w:rPr/>
        <w:t xml:space="preserve">8. Բարձրլեռնային բնակավայրերի շարքում դասվող բնակավայրերում տեղակայված հաստատությունների աշխատողներին բարձրլեռնային վայրերում աշխատելու համար տրվող լրավճարի չափը (</w:t>
      </w:r>
      <w:r>
        <w:rPr>
          <w:b w:val="1"/>
          <w:bCs w:val="1"/>
        </w:rPr>
        <w:t xml:space="preserve">ԲԼլ</w:t>
      </w:r>
      <w:r>
        <w:rPr/>
        <w:t xml:space="preserve">-ն) որոշվում է տվյալ հաստատության աշխատակիցների դրույքների թվի և Հայաստանի Հանրապետության կառավարության կողմից սահմանած պետական մարմին չհամարվող պետական բյուջետային հիմնարկների աշխատողներին բարձրլեռնային վայրերում աշխատելու համար տրվող լրավճարի (աշխատաժամանակի նորմալ կամ կրճատ տևողության դեպքում) չափի արտադրյալով։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9. Հաստատության պահպանման տարեկան ծախսերը (</w:t>
      </w:r>
      <w:r>
        <w:rPr>
          <w:b w:val="1"/>
          <w:bCs w:val="1"/>
        </w:rPr>
        <w:t xml:space="preserve">Պծ</w:t>
      </w:r>
      <w:r>
        <w:rPr/>
        <w:t xml:space="preserve">-ն) ներառում են հետևյալ ծախսատեսակները․</w:t>
      </w:r>
    </w:p>
    <w:p>
      <w:pPr/>
      <w:r>
        <w:rPr/>
        <w:t xml:space="preserve">1) </w:t>
      </w:r>
      <w:r>
        <w:rPr>
          <w:b w:val="1"/>
          <w:bCs w:val="1"/>
        </w:rPr>
        <w:t xml:space="preserve">էլեկտրոմատակարարման ծախսերը</w:t>
      </w:r>
      <w:r>
        <w:rPr/>
        <w:t xml:space="preserve">, որը որոշվում է վերջին երեք տարվա փաստացի ծախսերի միջինով /հաշվի առնելով սակագնային փոփոխությունները/,</w:t>
      </w:r>
    </w:p>
    <w:p>
      <w:pPr/>
      <w:r>
        <w:rPr/>
        <w:t xml:space="preserve">2) </w:t>
      </w:r>
      <w:r>
        <w:rPr>
          <w:b w:val="1"/>
          <w:bCs w:val="1"/>
        </w:rPr>
        <w:t xml:space="preserve">բնական գազի մատակարարման և սպասարկման ծախսերը</w:t>
      </w:r>
      <w:r>
        <w:rPr/>
        <w:t xml:space="preserve">, որը որոշվում է վերջին երեք տարվա փաստացի ծախսերի միջինով /հաշվի առնելով սակագնային փոփոխությունները/,</w:t>
      </w:r>
    </w:p>
    <w:p>
      <w:pPr/>
      <w:r>
        <w:rPr/>
        <w:t xml:space="preserve">3) </w:t>
      </w:r>
      <w:r>
        <w:rPr>
          <w:b w:val="1"/>
          <w:bCs w:val="1"/>
        </w:rPr>
        <w:t xml:space="preserve">այլ տիպի ջեռուցման ծախսերը</w:t>
      </w:r>
      <w:r>
        <w:rPr/>
        <w:t xml:space="preserve">, որը որոշվում է վերջին երեք տարվա փաստացի ծախսերի միջինով, ընդ որում, ջեռուցման մի տեսակից մյուսին անցնելիս հիմք է ընդունվում համանման ջեռուցման համակարգ և ծավալներ ունեցող հաստատության տվյալ տեսակի ծախսերը,</w:t>
      </w:r>
    </w:p>
    <w:p>
      <w:pPr/>
      <w:r>
        <w:rPr/>
        <w:t xml:space="preserve">4) </w:t>
      </w:r>
      <w:r>
        <w:rPr>
          <w:b w:val="1"/>
          <w:bCs w:val="1"/>
        </w:rPr>
        <w:t xml:space="preserve">ջրամատակարարման և ջրահեռացման ծախսերը</w:t>
      </w:r>
      <w:r>
        <w:rPr/>
        <w:t xml:space="preserve">, որը որոշվում է վերջին երեք տարվա փաստացի ծախսերի միջինով /հաշվի առնելով սակագնային փոփոխությունները/,</w:t>
      </w:r>
    </w:p>
    <w:p>
      <w:pPr/>
      <w:r>
        <w:rPr/>
        <w:t xml:space="preserve">5) </w:t>
      </w:r>
      <w:r>
        <w:rPr>
          <w:b w:val="1"/>
          <w:bCs w:val="1"/>
        </w:rPr>
        <w:t xml:space="preserve">աղբահանման</w:t>
      </w:r>
      <w:r>
        <w:rPr/>
        <w:t xml:space="preserve"> </w:t>
      </w:r>
      <w:r>
        <w:rPr>
          <w:b w:val="1"/>
          <w:bCs w:val="1"/>
        </w:rPr>
        <w:t xml:space="preserve">ծախսերը</w:t>
      </w:r>
      <w:r>
        <w:rPr/>
        <w:t xml:space="preserve">, որը հավասար է Աղբահանության և սանիտարական մաքրման մասին Հայաստանի Հանրապետության օրենքով սահմանված կարգով կրթական և ուսումնական նշանակության շենքերի և շինությունների աղբահանության վճարի տարեկան չափին,</w:t>
      </w:r>
    </w:p>
    <w:p>
      <w:pPr/>
      <w:r>
        <w:rPr/>
        <w:t xml:space="preserve">6) </w:t>
      </w:r>
      <w:r>
        <w:rPr>
          <w:b w:val="1"/>
          <w:bCs w:val="1"/>
        </w:rPr>
        <w:t xml:space="preserve">կապի ծառայությունների (ներառյալ համացանցը) ծախսերը, </w:t>
      </w:r>
      <w:r>
        <w:rPr/>
        <w:t xml:space="preserve">որը հաշվարկվում է.</w:t>
      </w:r>
    </w:p>
    <w:p>
      <w:pPr/>
      <w:r>
        <w:rPr/>
        <w:t xml:space="preserve">մինչև 5 խումբ ունեցող հաստատությունների համար՝ տարեկան 129,2 հազ. դրամ,</w:t>
      </w:r>
    </w:p>
    <w:p>
      <w:pPr/>
      <w:r>
        <w:rPr/>
        <w:t xml:space="preserve">5-ից 10 խումբ ունեցող հաստատությունների համար՝ տարեկան 139,5 հազ. դրամ,</w:t>
      </w:r>
    </w:p>
    <w:p>
      <w:pPr/>
      <w:r>
        <w:rPr/>
        <w:t xml:space="preserve">10 և ավելի խումբ ունեցող հաստատությունների համար՝ տարեկան 170,6 հազ. դրամ,</w:t>
      </w:r>
    </w:p>
    <w:p>
      <w:pPr/>
      <w:r>
        <w:rPr/>
        <w:t xml:space="preserve">7)  </w:t>
      </w:r>
      <w:r>
        <w:rPr>
          <w:b w:val="1"/>
          <w:bCs w:val="1"/>
        </w:rPr>
        <w:t xml:space="preserve">տնտեսական ապրանքների և նյութերի համար նախատեսված ծախսերը,</w:t>
      </w:r>
      <w:r>
        <w:rPr/>
        <w:t xml:space="preserve"> որը յուրաքանչյուր գործող խմբի համար հաշվարկվում է տարեկան 147,0 հազ. դրամի չափով,</w:t>
      </w:r>
    </w:p>
    <w:p>
      <w:pPr/>
      <w:r>
        <w:rPr/>
        <w:t xml:space="preserve">8) </w:t>
      </w:r>
      <w:r>
        <w:rPr>
          <w:b w:val="1"/>
          <w:bCs w:val="1"/>
        </w:rPr>
        <w:t xml:space="preserve">գրասենյակային ապրանքների և նյութերի համար նախատեսված ծախսերը,</w:t>
      </w:r>
      <w:r>
        <w:rPr/>
        <w:t xml:space="preserve"> որը յուրաքանչյուր գործող խմբի համար հաշվարկվում է տարեկան 27,9 հազ. դրամի չափով,</w:t>
      </w:r>
    </w:p>
    <w:p>
      <w:pPr/>
      <w:r>
        <w:rPr/>
        <w:t xml:space="preserve">9) </w:t>
      </w:r>
      <w:r>
        <w:rPr>
          <w:b w:val="1"/>
          <w:bCs w:val="1"/>
        </w:rPr>
        <w:t xml:space="preserve">ուսումնամեթոդական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ուսումնաօժանդակ</w:t>
      </w:r>
      <w:r>
        <w:rPr/>
        <w:t xml:space="preserve"> </w:t>
      </w:r>
      <w:r>
        <w:rPr>
          <w:b w:val="1"/>
          <w:bCs w:val="1"/>
        </w:rPr>
        <w:t xml:space="preserve">ձեռնարկների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ուսումնադիտողական</w:t>
      </w:r>
      <w:r>
        <w:rPr/>
        <w:t xml:space="preserve"> </w:t>
      </w:r>
      <w:r>
        <w:rPr>
          <w:b w:val="1"/>
          <w:bCs w:val="1"/>
        </w:rPr>
        <w:t xml:space="preserve">նյութերի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ուսումնադիդակտիկ</w:t>
      </w:r>
      <w:r>
        <w:rPr/>
        <w:t xml:space="preserve"> </w:t>
      </w:r>
      <w:r>
        <w:rPr>
          <w:b w:val="1"/>
          <w:bCs w:val="1"/>
        </w:rPr>
        <w:t xml:space="preserve">պարագաների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նախատեսված</w:t>
      </w:r>
      <w:r>
        <w:rPr/>
        <w:t xml:space="preserve"> </w:t>
      </w:r>
      <w:r>
        <w:rPr>
          <w:b w:val="1"/>
          <w:bCs w:val="1"/>
        </w:rPr>
        <w:t xml:space="preserve">ծախսերը</w:t>
      </w:r>
      <w:r>
        <w:rPr>
          <w:b w:val="1"/>
          <w:bCs w:val="1"/>
        </w:rPr>
        <w:t xml:space="preserve">, </w:t>
      </w:r>
      <w:r>
        <w:rPr/>
        <w:t xml:space="preserve">որը յուրաքանչյուր գործող խմբի համար հաշվարկվում է.</w:t>
      </w:r>
    </w:p>
    <w:p>
      <w:pPr/>
      <w:r>
        <w:rPr/>
        <w:t xml:space="preserve">կրտսեր խմբերի համար՝ տարեկան 72,5 հազ. դրամի չափով,</w:t>
      </w:r>
    </w:p>
    <w:p>
      <w:pPr/>
      <w:r>
        <w:rPr/>
        <w:t xml:space="preserve">միջին խմբերի համար՝ տարեկան 117,2 հազ. դրամի չափով,</w:t>
      </w:r>
    </w:p>
    <w:p>
      <w:pPr/>
      <w:r>
        <w:rPr/>
        <w:t xml:space="preserve">ավագ խմբերի համար՝ տարեկան 304,8 հազ. դրամի չափով,</w:t>
      </w:r>
    </w:p>
    <w:p>
      <w:pPr/>
      <w:r>
        <w:rPr/>
        <w:t xml:space="preserve">10) </w:t>
      </w:r>
      <w:r>
        <w:rPr>
          <w:b w:val="1"/>
          <w:bCs w:val="1"/>
        </w:rPr>
        <w:t xml:space="preserve">բժշկական ծառայությունների, ինչպես նաև դեղորայքի և բժշկական նյութերի համար նախատեսված ծախսերը</w:t>
      </w:r>
      <w:r>
        <w:rPr/>
        <w:t xml:space="preserve">, որը յուրաքանչյուր գործող խմբի համար հաշվարկվում է տարեկան 38,7 հազ․ դրամի չափով,</w:t>
      </w:r>
    </w:p>
    <w:p>
      <w:pPr/>
      <w:r>
        <w:rPr/>
        <w:t xml:space="preserve">11) </w:t>
      </w:r>
      <w:r>
        <w:rPr>
          <w:b w:val="1"/>
          <w:bCs w:val="1"/>
        </w:rPr>
        <w:t xml:space="preserve">Համակարգչային ծրագրերի և կայքի սպասարկման համար նախատեսված ծախսերը</w:t>
      </w:r>
      <w:r>
        <w:rPr/>
        <w:t xml:space="preserve">, որը յուրաքանչյուր հաստատության համար հաշվարկվում է տարեկան 105,0 հազ. դրամի չափով,</w:t>
      </w:r>
    </w:p>
    <w:p>
      <w:pPr/>
      <w:r>
        <w:rPr/>
        <w:t xml:space="preserve">12) </w:t>
      </w:r>
      <w:r>
        <w:rPr>
          <w:b w:val="1"/>
          <w:bCs w:val="1"/>
        </w:rPr>
        <w:t xml:space="preserve">Տարեկան գույքագրման, հիմնական միջոցների վերագնահատման համար նախատեսված ծախսերը,</w:t>
      </w:r>
      <w:r>
        <w:rPr/>
        <w:t xml:space="preserve"> որը յուրաքանչյուր հաստատության համար հաշվարկվում է.</w:t>
      </w:r>
    </w:p>
    <w:p>
      <w:pPr/>
      <w:r>
        <w:rPr/>
        <w:t xml:space="preserve">մինչև 5 խումբ ունեցող հաստատությունների համար՝ տարեկան 30,0 հազ․ դրամ,</w:t>
      </w:r>
    </w:p>
    <w:p>
      <w:pPr/>
      <w:r>
        <w:rPr/>
        <w:t xml:space="preserve">5-ից 10 խումբ ունեցող հաստատությունների համար՝ տարեկան 50,0 հազ․ դրամ,</w:t>
      </w:r>
    </w:p>
    <w:p>
      <w:pPr/>
      <w:r>
        <w:rPr/>
        <w:t xml:space="preserve">10 և ավելի խումբ ունեցող հաստատությունների համար՝ տարեկան 80,0 հազ․ դրամ,</w:t>
      </w:r>
    </w:p>
    <w:p>
      <w:pPr/>
      <w:r>
        <w:rPr/>
        <w:t xml:space="preserve">13) </w:t>
      </w:r>
      <w:r>
        <w:rPr>
          <w:b w:val="1"/>
          <w:bCs w:val="1"/>
        </w:rPr>
        <w:t xml:space="preserve">այլ ծառայությունների ձեռքբերման համար նախատեսված ծախսերը,</w:t>
      </w:r>
      <w:r>
        <w:rPr/>
        <w:t xml:space="preserve"> որը յուրաքանչյուր գործող խմբի համար հաշվարկվում է տարեկան 38,7 հազ․ դրամի չափով։</w:t>
      </w:r>
    </w:p>
    <w:p>
      <w:pPr>
        <w:numPr>
          <w:ilvl w:val="0"/>
          <w:numId w:val="13"/>
        </w:numPr>
      </w:pPr>
      <w:r>
        <w:rPr/>
        <w:t xml:space="preserve">Հաստատությանը հատկացվող սննդի տարեկան գումարը (</w:t>
      </w:r>
      <w:r>
        <w:rPr>
          <w:b w:val="1"/>
          <w:bCs w:val="1"/>
        </w:rPr>
        <w:t xml:space="preserve">ՍԳ</w:t>
      </w:r>
      <w:r>
        <w:rPr/>
        <w:t xml:space="preserve">-ն) հավասար է հաստատության սաների քանակի, տարվա ընթացքում սննդի հատկացման օրերի թվի և 420 ՀՀ դրամի արտադրյալին, որը տարվա արդյունքերով ենթակա է ճշտգրկման՝ հիմք ընդունելով սաների փաստացի հաճախումները։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Կրթության և զարգացման առանձնահատուկ պայմանների ապահովման համար կրթության և զարգացման առանձնահատուկ պայմանների կարիքով սաներ ունեցող Հաստատությունների ֆինանսավորումն իրականացվում է բարձրացված չափաքանակով, որը հավասար է․</w:t>
      </w:r>
    </w:p>
    <w:p>
      <w:pPr/>
      <w:r>
        <w:rPr/>
        <w:t xml:space="preserve">1) կրթության և զարգացման առանձնահատուկ պայմանների կարիքով սաների տեսակարար կշիռը Հաստատության սաների ընդհանուր թվում 10 տոկոսից փոքր լինելու դեպքում՝ սույն կարգով հաշվարկված հաստատության տարեկան ֆինանսավորման չափի 1 տոկոսին,</w:t>
      </w:r>
    </w:p>
    <w:p>
      <w:pPr/>
      <w:r>
        <w:rPr/>
        <w:t xml:space="preserve">2) կրթության և զարգացման առանձնահատուկ պայմանների կարիքով սաների տեսակարար կշիռը Հաստատության սաների ընդհանուր թվում 10-ից 30 տոկոս լինելու դեպքում՝  հաստատության տարեկան ֆինանսավորման չափի 2,5 տոկոսին,</w:t>
      </w:r>
    </w:p>
    <w:p>
      <w:pPr/>
      <w:r>
        <w:rPr/>
        <w:t xml:space="preserve">3) կրթության և զարգացման առանձնահատուկ պայմանների կարիքով սաների տեսակարար կշիռը Հաստատության սաների ընդհանուր թվում 30 տոկոսից ավելի  լինելու դեպքում՝  հաստատության տարեկան ֆինանսավորման չափի 4 տոկոսին։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Ընդ որում.</w:t>
      </w:r>
    </w:p>
    <w:p>
      <w:pPr/>
      <w:r>
        <w:rPr/>
        <w:t xml:space="preserve">1) Հաստատությունում չորսժամյա աշխատանքային օր սահմանված լինելու դեպքում՝  սույն կարգով հաշվարկված հաստատության տարեկան ֆինանսավորման չափի նկատմամբ կիրառելի է 0,5 գործակիցը,</w:t>
      </w:r>
    </w:p>
    <w:p>
      <w:pPr/>
      <w:r>
        <w:rPr/>
        <w:t xml:space="preserve">2) Հաստատությունում քսանչորսժամյա աշխատանքային օր սահմանված լինելու դեպքում՝ սույն կարգով հաշվարկված հաստատության տարեկան ֆինանսավորման չափի նկատմամբ կիրառելի է 2,5 գործակիցը։</w:t>
      </w:r>
    </w:p>
    <w:p>
      <w:pPr/>
      <w:r>
        <w:rPr/>
        <w:t xml:space="preserve">3) Հաստատությունում վեցօրյա աշխատանքային շաբաթ սահմանված լինելու դեպքում սույն կարգով հաշվարկված հաստատության տարեկան ֆինանսավորման չափի նկատմամբ կիրառելի է 1,2 գործակիցը։ </w:t>
      </w:r>
    </w:p>
    <w:p>
      <w:pPr/>
      <w:r>
        <w:rPr/>
        <w:t xml:space="preserve"> </w:t>
      </w:r>
    </w:p>
    <w:p>
      <w:pPr/>
      <w:br/>
      <w:r>
        <w:rPr/>
        <w:t xml:space="preserve">    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57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68F2F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992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1DE7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C3080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C96E5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1349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72369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3BE1B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10630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5218D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F8DDE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58B34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99F74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2026-04-02T23:43:51+04:00</dcterms:created>
  <dcterms:modified xsi:type="dcterms:W3CDTF">2026-04-02T23:43:51+04:00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