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2021 ԹՎԱԿԱՆԻ ՀԱՄԱՐ ԱԲՈՎՅԱՆ ՀԱՄԱՅՆՔՈՒՄ ՏԵՂԱԿԱՆ ՎՃԱՐՆԵՐԻ ԴՐՈՒՅՔԱՉԱՓԵՐԸ ԵՎ ԱՐՏՈՆՈՒԹՅՈՒՆՆԵՐԸ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-----------------------  2020 թվականի N ___ -Ն</w:t>
      </w:r>
    </w:p>
    <w:p>
      <w:pPr>
        <w:jc w:val="center"/>
      </w:pPr>
      <w:r>
        <w:rPr>
          <w:b w:val="1"/>
          <w:bCs w:val="1"/>
        </w:rPr>
        <w:t xml:space="preserve">2021 ԹՎԱԿԱՆԻ ՀԱՄԱՐ ԱԲՈՎՅԱՆ ՀԱՄԱՅՆՔՈՒՄ ՏԵՂԱԿԱՆ ՎՃԱՐՆԵՐԻ ԴՐՈՒՅՔԱՉԱՓԵՐԸ ԵՎ ԱՐՏՈՆՈՒԹՅՈՒՆՆԵՐԸ ՍԱՀՄԱՆԵԼՈՒ ՄԱՍԻՆ</w:t>
      </w:r>
    </w:p>
    <w:p>
      <w:pPr/>
      <w:r>
        <w:rPr/>
        <w:t xml:space="preserve">Համաձայն «Տեղական ինքնակառավարման մասին» օրենքի 18-րդ հոդվածի 1-ին մասի 18-րդ կետի, «Տեղական տուրքերի և վճարների մասին»  օրենքի 8-րդ, 10-րդ, 13-րդ, 14-րդ և 16-րդ  հոդվածների, «Աղբահանության և սանիտարական մաքրման մասին»  օրենքի, Աբովյան համայնքի ավագանին </w:t>
      </w: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է՝ </w:t>
      </w:r>
      <w:br/>
      <w:r>
        <w:rPr>
          <w:b w:val="1"/>
          <w:bCs w:val="1"/>
        </w:rPr>
        <w:t xml:space="preserve"> </w:t>
      </w:r>
      <w:r>
        <w:rPr/>
        <w:t xml:space="preserve">1. Սահմանել Աբովյան համայնքում (այսուհետ՝ համայնք) տեղական վճարների  դրույքաչափերը և արտոնությունները 2021 թվականի համար`  </w:t>
      </w:r>
      <w:br/>
      <w:r>
        <w:rPr/>
        <w:t xml:space="preserve"> 1) 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համար՝ համայնքի մատուցած ծառայությունների դիմաց փոխհատուցման վճար՝   14 000 (տասնչորս հազար) դրամ. </w:t>
      </w:r>
      <w:br/>
      <w:r>
        <w:rPr/>
        <w:t xml:space="preserve"> 2) ճարտարապետաշինարարական նախագծային փաստաթղթերով նախատեսված շինարարության թույլտվություն պահանջող, բոլոր շինարարական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համար՝ համայնքի մատուցած ծառայությունների դիմաց փոխհատուցման վճար՝ 14 000 (տասնչորս հազար) դրամ.        </w:t>
      </w:r>
      <w:br/>
      <w:r>
        <w:rPr/>
        <w:t xml:space="preserve"> 3) ճարտարապետաշինարարական նախագծային փաստաթղթերով նախատեսված աշխատանքներն ավարտելուց հետո շահագործման թույլտվության ձևակերպման համար՝ համայնքի մատուցած ծառայությունների դիմաց փոխհատուցման վճար՝  </w:t>
      </w:r>
      <w:br/>
      <w:r>
        <w:rPr/>
        <w:t xml:space="preserve"> 14 000 (տասնչորս հազար) դրամ.      </w:t>
      </w:r>
      <w:br/>
      <w:r>
        <w:rPr/>
        <w:t xml:space="preserve"> 4) hամայնքի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համար` համայնքի մատուցած ծառայությունների դիմաց փոխհատուցման վճար՝ 65 000 (վաթսունհինգ հազար) դրամ.   </w:t>
      </w:r>
      <w:br/>
      <w:r>
        <w:rPr/>
        <w:t xml:space="preserve"> 5) համայնքի կողմից կազմակերպվող մրցույթների և աճուրդների մասնակցության համար՝ համայնքի մատուցած ծառայությունների դիմաց փոխհատուցման վճար՝ </w:t>
      </w:r>
      <w:br/>
      <w:r>
        <w:rPr/>
        <w:t xml:space="preserve">  14 000 (տասնչորս հազար) դրամ.     </w:t>
      </w:r>
      <w:br/>
      <w:r>
        <w:rPr/>
        <w:t xml:space="preserve"> 6) համայնքի վարչական տարածքում տոնավաճառներին (վերնիսաժներին) մասնակցելու համար՝ համայնքի մատուցած ծառայությունների դիմաց փոխհատուցման վճար՝  1 000 (հազար) դրամ.         </w:t>
      </w:r>
      <w:br/>
      <w:r>
        <w:rPr/>
        <w:t xml:space="preserve"> 7) համայնքի կողմից կառավարվող բազմաբնակարան շենքերի ընդհանուր բաժնային սեփականության պահպանման պարտադիր նորմերի կատարման համար՝ համայնքի կողմից  մատուցված ծառայությունների դիմաց  մեկ քառակուսի մետրի համար  փոխհատուցման  վճար՝ ամսական 10 (տասը) դրամ.         </w:t>
      </w:r>
      <w:br/>
      <w:r>
        <w:rPr/>
        <w:t xml:space="preserve"> 8) արխիվից   փաստաթղթերի պատճեններ տրամադրելու համար՝ մեկ փաստաթղթի համար  փոխհատուցման վճար՝  1 000 (հազար) դրամ. </w:t>
      </w:r>
      <w:br/>
      <w:r>
        <w:rPr/>
        <w:t xml:space="preserve"> 9) համայնքում աղբահանության դիմաց գանձվող տեղական վճարի դրույքաչափերը և արտոնությունները՝  համաձայն հավելված 1-ի.      </w:t>
      </w:r>
      <w:br/>
      <w:r>
        <w:rPr/>
        <w:t xml:space="preserve"> 10) շինարարական և խոշոր եզրաչափի աղբի հավաքման և փոխադրման համար համայնքի ղեկավարի կողմից տրամադրվող թույլտվության համար գանձվող տեղական վճարի դրույքաչափերը՝ համաձայն հավելված 2-ի.  </w:t>
      </w:r>
      <w:br/>
      <w:r>
        <w:rPr/>
        <w:t xml:space="preserve"> 11) համայնքային ենթակայության մանկապարտեզների ծառայություններից օգտվողների համար՝ համայնքի կողմից մատուցված ծառայությունների դիմաց մասնակի  փոխհատուցման գումար և արտոնություններ՝  համաձայն հավելված 3-ի.</w:t>
      </w:r>
      <w:br/>
      <w:r>
        <w:rPr/>
        <w:t xml:space="preserve"> 12) «Աբովյանի Զարեհ Սահակյանցի անվան երաժշտական դպրոց» արտադպրոցական կրթադաստիարակչական ուսումնական հաստատություն համայնքային ոչ առևտրային կազմակերպության  ծառայություններից օգտվողների համար՝ համայնքի կողմից  մատուցված ծառայությունների դիմաց մասնակի փոխհատուցման գումար և արտոնություններ` համաձայն հավելված 4-ի.</w:t>
      </w:r>
      <w:br/>
      <w:r>
        <w:rPr/>
        <w:t xml:space="preserve"> 13) «Աբովյանի գեղարվեստի  դպրոց» արտադպրոցական կրթադաստիարակչական ուսումնական հաստատություն համայնքային ոչ առևտրային կազմակերպության  ծառայություններից օգտվողների համար՝ համայնքի կողմից մատուցված ծառայությունների դիմաց մասնակի փոխհատուցման գումար և արտոնություններ՝ համաձայն հավելված 5-ի.        </w:t>
      </w:r>
      <w:br/>
      <w:r>
        <w:rPr/>
        <w:t xml:space="preserve"> 14) «Գագիկ Ծառուկյանի անվան Աբովյանի սպորտի և մշակույթի համալիր կենտրոն» համայնքային ոչ առևտրային կազմակերպության և «Աբովյանի շախմատի դպրոց» ուսումնական հաստատություն համայնքային ոչ առևտրային կազմակերպության ծառայություններից օգտվողների համար՝ համայնքի կողմից մատուցված ծառայությունների դիմաց փոխհատուցման վճարի նկատմամբ կիրառել զրոյական դրույքաչափ։</w:t>
      </w:r>
      <w:br/>
      <w:r>
        <w:rPr/>
        <w:t xml:space="preserve"> 2. Սույն որոշումն ուժի մեջ է մտնում պաշտոնական հրապարակման օրվան հաջորդող տասներորդ օրը:   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2026-04-03T18:46:13+04:00</dcterms:created>
  <dcterms:modified xsi:type="dcterms:W3CDTF">2026-04-03T18:46:13+04:00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