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«ՀԱՅԿԱԿԱՆ ԱՏՈՄԱՅԻՆ ԷԼԵԿՏՐԱԿԱՅԱՆ» ՓԱԿ ԲԱԺՆԵՏԻՐԱԿԱՆ ԸՆԿԵՐՈՒԹՅԱՆ ԱՌԱՋԻՆ ԷՆԵՐԳԱԲԼՈԿԸ ՇԱՀԱԳՈՐԾՈՒՄԻՑ ՀԱՆԵԼՈՒ ՄԱՍԻՆ</w:t>
      </w:r>
      <w:bookmarkEnd w:id="0"/>
    </w:p>
    <w:p>
      <w:pPr/>
      <w:r>
        <w:rPr>
          <w:b w:val="1"/>
          <w:bCs w:val="1"/>
        </w:rPr>
        <w:t xml:space="preserve">Հոդված 1. Օրենքի նպատակը</w:t>
      </w:r>
    </w:p>
    <w:p>
      <w:pPr/>
      <w:r>
        <w:rPr/>
        <w:t xml:space="preserve">Սույն օրենքի նպատակը «Հայկական ատոմային էլեկտրակայան» փակ բաժնետիրական ընկերության առաջին էներգաբլոկը շահագործումից հանելու գործընթացի (այսուհետ՝ շահագործումից հանելու գործընթաց) ապահովումն է:</w:t>
      </w:r>
    </w:p>
    <w:p>
      <w:pPr/>
      <w:r>
        <w:rPr>
          <w:b w:val="1"/>
          <w:bCs w:val="1"/>
        </w:rPr>
        <w:t xml:space="preserve">Հոդված 2. Շահագործումից հանելու գործընթացի իրականացումը</w:t>
      </w:r>
    </w:p>
    <w:p>
      <w:pPr/>
      <w:r>
        <w:rPr/>
        <w:t xml:space="preserve">Շահագործումից հանելու գործընթացն իրականացվում է Հայաստանի Հանրապետության օրենսդրության, քաղաքաշինական նորմատիվ-տեխնիկական փաստաթղթերի և Ատոմային էներգիայի միջազգային գործակալության անվտանգության ստանդարտների պահանջներին համապատասխան:</w:t>
      </w:r>
    </w:p>
    <w:p>
      <w:pPr/>
      <w:r>
        <w:rPr>
          <w:b w:val="1"/>
          <w:bCs w:val="1"/>
        </w:rPr>
        <w:t xml:space="preserve">Հոդված 3. Անվտանգության պահանջների ապահովումը</w:t>
      </w:r>
    </w:p>
    <w:p>
      <w:pPr/>
      <w:r>
        <w:rPr/>
        <w:t xml:space="preserve">Շահագործումից հանելու գործընթացն իրականացնելիս Հայաստանի Հանրապետության կառավարությունը ապահովում է միջազգային կոնվենցիաներով Հայաստանի Հանրապետության ստանձնած պարտավորությունների կատարումը և Հայաստանի Հանրապետության միջուկային ու ճառագայթային անվտանգության նորմերի պահանջները:</w:t>
      </w:r>
    </w:p>
    <w:p>
      <w:pPr/>
      <w:r>
        <w:rPr>
          <w:b w:val="1"/>
          <w:bCs w:val="1"/>
        </w:rPr>
        <w:t xml:space="preserve">Հոդված 4. </w:t>
      </w:r>
      <w:r>
        <w:rPr>
          <w:b w:val="1"/>
          <w:bCs w:val="1"/>
        </w:rPr>
        <w:t xml:space="preserve">Շահագործումից հանելու ռազմավարության մշակումը</w:t>
      </w:r>
    </w:p>
    <w:p>
      <w:pPr/>
      <w:r>
        <w:rPr/>
        <w:t xml:space="preserve">Շահագործումից հանելու ռազմավարությունը մշակում և դրան հավանություն է տալիս Հայաստանի Հանրապետության կառավարությունը:</w:t>
      </w:r>
    </w:p>
    <w:p>
      <w:pPr/>
      <w:r>
        <w:rPr>
          <w:b w:val="1"/>
          <w:bCs w:val="1"/>
        </w:rPr>
        <w:t xml:space="preserve">Հոդված 5. Հասարակությանը տեղեկատվության տրամադրումը</w:t>
      </w:r>
    </w:p>
    <w:p>
      <w:pPr/>
      <w:r>
        <w:rPr/>
        <w:t xml:space="preserve">Շահագործումից հանելու գործընթացի իրականացման ընթացքի մասին հասարակությանը և բնապահպանական կազմակերպություններին պարբերաբար տեղեկացնում է Հայաստանի Հանրապետության կառավարությունը:</w:t>
      </w:r>
    </w:p>
    <w:p>
      <w:pPr/>
      <w:r>
        <w:rPr>
          <w:b w:val="1"/>
          <w:bCs w:val="1"/>
        </w:rPr>
        <w:t xml:space="preserve">Հոդված 6. Օրենքի ուժի մեջ մտնելը</w:t>
      </w:r>
    </w:p>
    <w:p>
      <w:pPr/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2026-03-31T02:31:39+04:00</dcterms:created>
  <dcterms:modified xsi:type="dcterms:W3CDTF">2026-03-31T02:31:39+04:00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