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«Ընդերքօգտագործման թափոնների օբյեկտներում դիտանցման իրականացման կարգը սահմանելու մասին» ՀՀ կառավարության որոշման նախագիծ</w:t>
      </w:r>
      <w:bookmarkEnd w:id="0"/>
    </w:p>
    <w:p>
      <w:pPr>
        <w:jc w:val="end"/>
      </w:pPr>
      <w:r>
        <w:rPr/>
        <w:t xml:space="preserve">Նախագիծ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___________</w:t>
      </w:r>
      <w:r>
        <w:rPr/>
        <w:t xml:space="preserve">2017թ.</w:t>
      </w:r>
      <w:r>
        <w:rPr>
          <w:b w:val="1"/>
          <w:bCs w:val="1"/>
        </w:rPr>
        <w:t xml:space="preserve">№ ______</w:t>
      </w:r>
      <w:r>
        <w:rPr>
          <w:b w:val="1"/>
          <w:bCs w:val="1"/>
        </w:rPr>
        <w:t xml:space="preserve">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ԸՆԴԵՐՔՕԳՏԱԳՈՐԾՄԱՆ</w:t>
      </w:r>
      <w:r>
        <w:rPr/>
        <w:t xml:space="preserve"> </w:t>
      </w:r>
      <w:r>
        <w:rPr>
          <w:b w:val="1"/>
          <w:bCs w:val="1"/>
        </w:rPr>
        <w:t xml:space="preserve">ԹԱՓՈՆՆԵՐԻ</w:t>
      </w:r>
      <w:r>
        <w:rPr/>
        <w:t xml:space="preserve"> </w:t>
      </w:r>
      <w:r>
        <w:rPr>
          <w:b w:val="1"/>
          <w:bCs w:val="1"/>
        </w:rPr>
        <w:t xml:space="preserve">ՕԲՅԵ</w:t>
      </w:r>
      <w:r>
        <w:rPr>
          <w:b w:val="1"/>
          <w:bCs w:val="1"/>
        </w:rPr>
        <w:t xml:space="preserve">Կ</w:t>
      </w:r>
      <w:r>
        <w:rPr>
          <w:b w:val="1"/>
          <w:bCs w:val="1"/>
        </w:rPr>
        <w:t xml:space="preserve">ՏՆԵՐՈՒՄ</w:t>
      </w:r>
      <w:r>
        <w:rPr/>
        <w:t xml:space="preserve"> </w:t>
      </w:r>
      <w:r>
        <w:rPr>
          <w:b w:val="1"/>
          <w:bCs w:val="1"/>
        </w:rPr>
        <w:t xml:space="preserve">ԴԻՏԱՆՑ</w:t>
      </w:r>
      <w:r>
        <w:rPr>
          <w:b w:val="1"/>
          <w:bCs w:val="1"/>
        </w:rPr>
        <w:t xml:space="preserve">ՄԱՆ</w:t>
      </w:r>
      <w:r>
        <w:rPr/>
        <w:t xml:space="preserve"> </w:t>
      </w:r>
      <w:r>
        <w:rPr>
          <w:b w:val="1"/>
          <w:bCs w:val="1"/>
        </w:rPr>
        <w:t xml:space="preserve">ԻՐԱԿԱՆԱՑ</w:t>
      </w:r>
      <w:r>
        <w:rPr>
          <w:b w:val="1"/>
          <w:bCs w:val="1"/>
        </w:rPr>
        <w:t xml:space="preserve">ՄԱՆ</w:t>
      </w:r>
      <w:r>
        <w:rPr/>
        <w:t xml:space="preserve"> </w:t>
      </w:r>
      <w:r>
        <w:rPr>
          <w:b w:val="1"/>
          <w:bCs w:val="1"/>
        </w:rPr>
        <w:t xml:space="preserve">ԿԱՐԳ</w:t>
      </w:r>
      <w:r>
        <w:rPr>
          <w:b w:val="1"/>
          <w:bCs w:val="1"/>
        </w:rPr>
        <w:t xml:space="preserve">Ը</w:t>
      </w:r>
      <w:r>
        <w:rPr/>
        <w:t xml:space="preserve"> </w:t>
      </w:r>
      <w:r>
        <w:rPr>
          <w:b w:val="1"/>
          <w:bCs w:val="1"/>
        </w:rPr>
        <w:t xml:space="preserve">ՍԱՀՄԱՆ</w:t>
      </w:r>
      <w:r>
        <w:rPr>
          <w:b w:val="1"/>
          <w:bCs w:val="1"/>
        </w:rPr>
        <w:t xml:space="preserve">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Հիմք ընդունելով Հայաստանի Հանրապետության ընդերքի մասին օրենսգրքի 15-րդ հոդվածի 2-րդ մասի 19-րդ կետը` Հայաստանի Հանրապետության կառավարությունը </w:t>
      </w:r>
      <w:r>
        <w:rPr>
          <w:b w:val="1"/>
          <w:bCs w:val="1"/>
        </w:rPr>
        <w:t xml:space="preserve">որոշում</w:t>
      </w:r>
      <w:r>
        <w:rPr/>
        <w:t xml:space="preserve"> </w:t>
      </w:r>
      <w:r>
        <w:rPr>
          <w:b w:val="1"/>
          <w:bCs w:val="1"/>
        </w:rPr>
        <w:t xml:space="preserve">է</w:t>
      </w:r>
      <w:r>
        <w:rPr>
          <w:b w:val="1"/>
          <w:bCs w:val="1"/>
        </w:rPr>
        <w:t xml:space="preserve">.</w:t>
      </w:r>
    </w:p>
    <w:p>
      <w:pPr>
        <w:numPr>
          <w:ilvl w:val="0"/>
          <w:numId w:val="2"/>
        </w:numPr>
      </w:pPr>
      <w:r>
        <w:rPr/>
        <w:t xml:space="preserve">Սահմանել ընդերքօգտագործման թափոնների օբյեկտներում դիտանցման իրականացման կարգը` համաձայն Հավելվածի: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2017 թվականի մայիսի 5-ից: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end"/>
      </w:pPr>
      <w:r>
        <w:rPr>
          <w:b w:val="1"/>
          <w:bCs w:val="1"/>
        </w:rPr>
        <w:t xml:space="preserve">Հ</w:t>
      </w:r>
      <w:r>
        <w:rPr>
          <w:b w:val="1"/>
          <w:bCs w:val="1"/>
        </w:rPr>
        <w:t xml:space="preserve">ավելված</w:t>
      </w:r>
    </w:p>
    <w:p>
      <w:pPr>
        <w:jc w:val="end"/>
      </w:pPr>
      <w:r>
        <w:rPr>
          <w:b w:val="1"/>
          <w:bCs w:val="1"/>
        </w:rPr>
        <w:t xml:space="preserve">ՀՀ</w:t>
      </w:r>
      <w:r>
        <w:rPr/>
        <w:t xml:space="preserve"> </w:t>
      </w:r>
      <w:r>
        <w:rPr>
          <w:b w:val="1"/>
          <w:bCs w:val="1"/>
        </w:rPr>
        <w:t xml:space="preserve">կառավարության</w:t>
      </w:r>
      <w:r>
        <w:rPr>
          <w:b w:val="1"/>
          <w:bCs w:val="1"/>
        </w:rPr>
        <w:t xml:space="preserve"> 201</w:t>
      </w:r>
      <w:r>
        <w:rPr>
          <w:b w:val="1"/>
          <w:bCs w:val="1"/>
        </w:rPr>
        <w:t xml:space="preserve">7</w:t>
      </w:r>
      <w:r>
        <w:rPr/>
        <w:t xml:space="preserve"> </w:t>
      </w:r>
      <w:r>
        <w:rPr>
          <w:b w:val="1"/>
          <w:bCs w:val="1"/>
        </w:rPr>
        <w:t xml:space="preserve">թվականի</w:t>
      </w:r>
    </w:p>
    <w:p>
      <w:pPr>
        <w:jc w:val="end"/>
      </w:pPr>
      <w:r>
        <w:rPr>
          <w:b w:val="1"/>
          <w:bCs w:val="1"/>
        </w:rPr>
        <w:t xml:space="preserve">______________ -</w:t>
      </w:r>
      <w:r>
        <w:rPr>
          <w:b w:val="1"/>
          <w:bCs w:val="1"/>
        </w:rPr>
        <w:t xml:space="preserve">ի</w:t>
      </w:r>
      <w:r>
        <w:rPr>
          <w:b w:val="1"/>
          <w:bCs w:val="1"/>
        </w:rPr>
        <w:t xml:space="preserve"> № _______-</w:t>
      </w:r>
      <w:r>
        <w:rPr>
          <w:b w:val="1"/>
          <w:bCs w:val="1"/>
        </w:rPr>
        <w:t xml:space="preserve">Ն</w:t>
      </w:r>
      <w:r>
        <w:rPr/>
        <w:t xml:space="preserve"> </w:t>
      </w:r>
      <w:r>
        <w:rPr>
          <w:b w:val="1"/>
          <w:bCs w:val="1"/>
        </w:rPr>
        <w:t xml:space="preserve">որոշման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Կ</w:t>
      </w:r>
      <w:r>
        <w:rPr/>
        <w:t xml:space="preserve"> </w:t>
      </w:r>
      <w:r>
        <w:rPr>
          <w:b w:val="1"/>
          <w:bCs w:val="1"/>
        </w:rPr>
        <w:t xml:space="preserve">Ա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Գ</w:t>
      </w:r>
      <w:br/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ԸՆԴԵՐՔՕԳՏԱԳՈՐԾՄԱՆ</w:t>
      </w:r>
      <w:r>
        <w:rPr/>
        <w:t xml:space="preserve"> </w:t>
      </w:r>
      <w:r>
        <w:rPr>
          <w:b w:val="1"/>
          <w:bCs w:val="1"/>
        </w:rPr>
        <w:t xml:space="preserve">ԹԱՓՈՆՆԵՐԻ</w:t>
      </w:r>
      <w:r>
        <w:rPr/>
        <w:t xml:space="preserve"> </w:t>
      </w:r>
      <w:r>
        <w:rPr>
          <w:b w:val="1"/>
          <w:bCs w:val="1"/>
        </w:rPr>
        <w:t xml:space="preserve">ՕԲՅԵԿ</w:t>
      </w:r>
      <w:r>
        <w:rPr>
          <w:b w:val="1"/>
          <w:bCs w:val="1"/>
        </w:rPr>
        <w:t xml:space="preserve">Տ</w:t>
      </w:r>
      <w:r>
        <w:rPr>
          <w:b w:val="1"/>
          <w:bCs w:val="1"/>
        </w:rPr>
        <w:t xml:space="preserve">ՆԵՐՈՒՄ</w:t>
      </w:r>
      <w:r>
        <w:rPr/>
        <w:t xml:space="preserve"> </w:t>
      </w:r>
      <w:r>
        <w:rPr>
          <w:b w:val="1"/>
          <w:bCs w:val="1"/>
        </w:rPr>
        <w:t xml:space="preserve">ԴԻՏԱՆՑ</w:t>
      </w:r>
      <w:r>
        <w:rPr>
          <w:b w:val="1"/>
          <w:bCs w:val="1"/>
        </w:rPr>
        <w:t xml:space="preserve">ՄԱՆ</w:t>
      </w:r>
      <w:r>
        <w:rPr/>
        <w:t xml:space="preserve"> </w:t>
      </w:r>
      <w:r>
        <w:rPr>
          <w:b w:val="1"/>
          <w:bCs w:val="1"/>
        </w:rPr>
        <w:t xml:space="preserve">ԻՐԱԿԱՆԱՑ</w:t>
      </w:r>
      <w:r>
        <w:rPr>
          <w:b w:val="1"/>
          <w:bCs w:val="1"/>
        </w:rPr>
        <w:t xml:space="preserve">ՄԱՆ</w:t>
      </w:r>
    </w:p>
    <w:p>
      <w:pPr/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Սույն կարգով կարգավորվում են ընդերքօգտագործման թափոնների օբյեկտներում (այսուհետ` օբյեկտ) դիտանցում իրականացնելու հետ կապված հարաբերությունները:</w:t>
      </w:r>
    </w:p>
    <w:p>
      <w:pPr>
        <w:numPr>
          <w:ilvl w:val="0"/>
          <w:numId w:val="3"/>
        </w:numPr>
      </w:pPr>
      <w:r>
        <w:rPr/>
        <w:t xml:space="preserve">Սույն կարգի դրույթները տարածվում են այն ընդերքօգտագործողների վրա, որոնց գործունեության հետևանքով առաջացել են ընդերքօգտագործման թափոններ:</w:t>
      </w:r>
    </w:p>
    <w:p>
      <w:pPr>
        <w:numPr>
          <w:ilvl w:val="0"/>
          <w:numId w:val="3"/>
        </w:numPr>
      </w:pPr>
      <w:r>
        <w:rPr/>
        <w:t xml:space="preserve">Դիտանցումը ընդերքօգտագործման թափոնների օբյեկտների նկատմամբ պարբերաբար իրականացվող գործողությունների համակարգն է, որն իրականացվում է ընդերքօգտագործողի կողմից` սեփական միջոցների հաշվին:</w:t>
      </w:r>
    </w:p>
    <w:p>
      <w:pPr>
        <w:numPr>
          <w:ilvl w:val="0"/>
          <w:numId w:val="3"/>
        </w:numPr>
      </w:pPr>
      <w:r>
        <w:rPr/>
        <w:t xml:space="preserve">Օբյեկտների դիտանցման նպատակն է`</w:t>
      </w:r>
    </w:p>
    <w:p>
      <w:pPr/>
      <w:r>
        <w:rPr/>
        <w:t xml:space="preserve">1) օբյեկտների անվտանգության և կայունության պահպանումը.</w:t>
      </w:r>
    </w:p>
    <w:p>
      <w:pPr/>
      <w:r>
        <w:rPr/>
        <w:t xml:space="preserve">2) հնարավոր ռիսկերի  բացահայտումն ու նախազգուշացումը.</w:t>
      </w:r>
    </w:p>
    <w:p>
      <w:pPr/>
      <w:r>
        <w:rPr/>
        <w:t xml:space="preserve">3) օբյեկտների պահպանման և դրանց հնարավոր վթարների օրինաչափությունների ուսումնասիրությունը.</w:t>
      </w:r>
    </w:p>
    <w:p>
      <w:pPr/>
      <w:r>
        <w:rPr/>
        <w:t xml:space="preserve">4) օբյեկտների գոյատևման կարճաժամկետ ու երկարաժամկետ կանխատեսումների համար տվյալների հավաքագրումը և վերլուծությունը.</w:t>
      </w:r>
    </w:p>
    <w:p>
      <w:pPr/>
      <w:r>
        <w:rPr/>
        <w:t xml:space="preserve">5) օբյեկտների ռիսկայնության աստիճանի գնահատման մասին հենակետային տվյալների ստացումը.</w:t>
      </w:r>
    </w:p>
    <w:p>
      <w:pPr/>
      <w:r>
        <w:rPr/>
        <w:t xml:space="preserve">6) օբյեկտների վերաբերյալ օպերատիվ տվյալների հավաքագրումը, մշակումը և ամփոփումը.</w:t>
      </w:r>
    </w:p>
    <w:p>
      <w:pPr/>
      <w:r>
        <w:rPr/>
        <w:t xml:space="preserve">7) ամփոփ տվյալների հիման վրա առաջարկությունների և կանխարգելման միջոցառումների պլանի մշակումը և իրականացումը:</w:t>
      </w:r>
    </w:p>
    <w:p>
      <w:pPr>
        <w:numPr>
          <w:ilvl w:val="0"/>
          <w:numId w:val="4"/>
        </w:numPr>
      </w:pPr>
      <w:r>
        <w:rPr/>
        <w:t xml:space="preserve">Դիտանցումը իրականցվում է հետևյալի օբյեկտների նկատմամբ` պոչամբարների, լցակույտերի, ինչպես նաև պոչամբարների և լցակույտերի կամ դրանց ազդեցության տարածքների՝ մակերևութային և ստորերկրյա ջրերի, մթնոլորտային օդի, հողերի, բուսական և կենդանական աշխարհի նկատմամբ: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ՊՈՉԱՄԲԱՐՆԵՐԻ ԴԻՏԱՆՑՈՒՄԸ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5"/>
        </w:numPr>
      </w:pPr>
      <w:r>
        <w:rPr/>
        <w:t xml:space="preserve"> Պոչամբարների դիտանցման մշտական ռեժիմով անհրաժեշտ է հետևել պոչամբարի կառուցվածքների և նրա տարրերի վիճակներին, նշելով ֆիլտրացիայի օջախները, փլուզումները, փլվածքները, նստվածքները, նստեցումները, ճեղքերը, լվացված տեղերը, խյուսի և կեղտաջրերի արտահոսքի տեղերը:</w:t>
      </w:r>
    </w:p>
    <w:p>
      <w:pPr>
        <w:numPr>
          <w:ilvl w:val="0"/>
          <w:numId w:val="5"/>
        </w:numPr>
      </w:pPr>
      <w:r>
        <w:rPr/>
        <w:t xml:space="preserve">Պոչամբարների կառուցվածքների վիճակի որակական դիտանցման իրականացման համար շահագործող կազմակերպությունը պետք է տեղադրի հսկիչ-չափիչ սարքեր, ապահովի դրանց պահպանվածությունը և զարգացնի այն: Շարքից դուրս եկած սարքավորումը հնարավորին չափով ենթակա է փոխարինման, իսկ նոր տեղադրվող սարքավորումը պետք է ապահովի անհրաժեշտ տեղեկատվության ստացումը:</w:t>
      </w:r>
    </w:p>
    <w:p>
      <w:pPr>
        <w:numPr>
          <w:ilvl w:val="0"/>
          <w:numId w:val="5"/>
        </w:numPr>
      </w:pPr>
      <w:r>
        <w:rPr/>
        <w:t xml:space="preserve">25 տարուց ավելի շահագործման մեջ եղած պոչամբարների կառուցվածքները, անկախ դրանց վիճակից, 5 տարին մեկ անգամ պետք է ենթարկվեն համալիր վերլուծության՝ ամրության, կայունության և շահագործման հուսալիության գնահատումով: Կառուցվածքների նյութերի ու դրանց հիմքերի փաստացի ֆիզիկամեխանիկական բնութագրերի հիման վրա, անհրաժեշտության դեպքում (նախավթարային վիճակի նշանների առկայության) կառուցվածքները արտահերթ կարգով վիճակի համալիր վերլուծության են ենթարկվում:</w:t>
      </w:r>
    </w:p>
    <w:p>
      <w:pPr>
        <w:numPr>
          <w:ilvl w:val="0"/>
          <w:numId w:val="5"/>
        </w:numPr>
      </w:pPr>
      <w:r>
        <w:rPr/>
        <w:t xml:space="preserve"> Պոչամբարների շահագործման ժամանակ անհրաժեշտ է իրականացնել դիտանցում`</w:t>
      </w:r>
    </w:p>
    <w:p>
      <w:pPr/>
      <w:r>
        <w:rPr/>
        <w:t xml:space="preserve">1) պոչամբարում ջրի մակարդակների նկատմամբ,</w:t>
      </w:r>
    </w:p>
    <w:p>
      <w:pPr/>
      <w:r>
        <w:rPr/>
        <w:t xml:space="preserve">2) հեղուկի մակարդակից պատնեշի կատարի բարձրության գերազանցման նկատմամբ,</w:t>
      </w:r>
    </w:p>
    <w:p>
      <w:pPr/>
      <w:r>
        <w:rPr/>
        <w:t xml:space="preserve">3) լողափային շեպերի վիճակի նկատմամբ,</w:t>
      </w:r>
    </w:p>
    <w:p>
      <w:pPr/>
      <w:r>
        <w:rPr/>
        <w:t xml:space="preserve">4) ողողալցման նախագծին պոչամբարի տարածքի համապատասխանության նկատմամբ,</w:t>
      </w:r>
    </w:p>
    <w:p>
      <w:pPr/>
      <w:r>
        <w:rPr/>
        <w:t xml:space="preserve"> 5) խյուսատարի և ցամաքուրդի (դրենաժի) համակարգի նկատմամբ,</w:t>
      </w:r>
    </w:p>
    <w:p>
      <w:pPr/>
      <w:r>
        <w:rPr/>
        <w:t xml:space="preserve">6) տարվա չոր ժամանակաշրջանում տղմարանների փոշեզատման նկատմամբ,</w:t>
      </w:r>
    </w:p>
    <w:p>
      <w:pPr/>
      <w:r>
        <w:rPr/>
        <w:t xml:space="preserve"> 7) պոչամբարի հարակից տարածքի ջրահոսքերում, խմելու ջրի ջրամատակարարման համակարգերում և ստորերկրյա ջրերում ագրեսիվ ջրերի հայտնվելու նկատմամբ,</w:t>
      </w:r>
    </w:p>
    <w:p>
      <w:pPr/>
      <w:r>
        <w:rPr/>
        <w:t xml:space="preserve">8) տղմազտիչների և հեղուկ թափոնների ամբարների նկատմաբ,</w:t>
      </w:r>
    </w:p>
    <w:p>
      <w:pPr/>
      <w:r>
        <w:rPr/>
        <w:t xml:space="preserve">9) արգելափակող սարքվածքների վիճակի, հեղուկի մակարդակից կատարի բարձրության գերազանցման նկատմամբ,</w:t>
      </w:r>
    </w:p>
    <w:p>
      <w:pPr/>
      <w:r>
        <w:rPr/>
        <w:t xml:space="preserve"> 10) անձրևային և հալոցքային ջրերի որսման ու հեռացման համակարգի նկատմամբ,</w:t>
      </w:r>
    </w:p>
    <w:p>
      <w:pPr/>
      <w:r>
        <w:rPr/>
        <w:t xml:space="preserve">11) հակածծանցող, ջրամերժ կառույցների (էկրանների, սեպերի, պատնեշների) նկատմամբ,</w:t>
      </w:r>
    </w:p>
    <w:p>
      <w:pPr/>
      <w:r>
        <w:rPr/>
        <w:t xml:space="preserve"> 12) տղմազտարանների ու պահեստարանների տարածքից հեղուկ թափոների դուրս թափանցման հնարավորությանը հետևող հսկիչ-չափիչ սարքավորման աշխատանքի նկատմամբ,</w:t>
      </w:r>
    </w:p>
    <w:p>
      <w:pPr/>
      <w:r>
        <w:rPr/>
        <w:t xml:space="preserve">13) շահագործման և կառուցվածքների վիճակի բացահայտված խախտումների շտապ վերացման, ինպես նաև հետագայում դրանց նախազգուշացման և բացառելու ուղղությամբ: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ԼՑԱԿՈՒՅՏԵՐԻ ԴԻՏԱՆՑՈՒՄԸ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6"/>
        </w:numPr>
      </w:pPr>
      <w:r>
        <w:rPr/>
        <w:t xml:space="preserve">Լցակույտերի ձևավորումը, շահագործումը և պահպանումը պետք է իրականացվի նախագծի համաձայն:</w:t>
      </w:r>
    </w:p>
    <w:p>
      <w:pPr>
        <w:numPr>
          <w:ilvl w:val="0"/>
          <w:numId w:val="6"/>
        </w:numPr>
      </w:pPr>
      <w:r>
        <w:rPr/>
        <w:t xml:space="preserve">Լցակույտերում իրականացվում է դիտանցում՝</w:t>
      </w:r>
    </w:p>
    <w:p>
      <w:pPr/>
      <w:r>
        <w:rPr/>
        <w:t xml:space="preserve">1) թեքությունների վրա տեղադրված լցակույտերի սողալը կամ փլուզումը կանխարգելող միջոցառումների կատարման նկատմամբ,</w:t>
      </w:r>
    </w:p>
    <w:p>
      <w:pPr/>
      <w:r>
        <w:rPr/>
        <w:t xml:space="preserve">2) լցակույտերում մակերևույթային կամ հանքախորշային ջրերի ներթափանցման կանխարգելմանն ուղղված միջոցառումների կատարման նկատմամբ,</w:t>
      </w:r>
    </w:p>
    <w:p>
      <w:pPr/>
      <w:r>
        <w:rPr/>
        <w:t xml:space="preserve">3) լցակույտերից գրունտային, հեղեղատային և անձրևային ջրերի հեռացմանն ուղղված միջոցառումների կատարման նկատմամբ,</w:t>
      </w:r>
    </w:p>
    <w:p>
      <w:pPr/>
      <w:r>
        <w:rPr/>
        <w:t xml:space="preserve">4) լցակույտերի թեքություններում, հիմքի մոտակայքում և տրանսպորտային միջոցների բեռնաթափման տեղերում մարդկանց գտնվելը կանխարգելող նշանների կամ գրառումների  առկայության նկատմամբ,</w:t>
      </w:r>
    </w:p>
    <w:p>
      <w:pPr/>
      <w:r>
        <w:rPr/>
        <w:t xml:space="preserve">5) ապարների  լցակույտերի աստիճանահարթակների և բարձրության, կտրվածքների և բերմաների անկյունների, լցակույտային աշխատանքների ճակատի շարժի արագության նախագծին համապատասխանության նկատմամբ,</w:t>
      </w:r>
    </w:p>
    <w:p>
      <w:pPr/>
      <w:r>
        <w:rPr/>
        <w:t xml:space="preserve">6) լցակույտերում  վթարների և վտանգավոր միջադեպերի կանխման, նախագծով նախատեսված կանխարգելիչ միջոցառումների կատարման նկատմամբ,</w:t>
      </w:r>
    </w:p>
    <w:p>
      <w:pPr/>
      <w:r>
        <w:rPr/>
        <w:t xml:space="preserve">7) լցակույտերի ազդեցության տարածքի ջրահոսքերում, մակերևութային և ստորերկրյա ջրերում ագրեսիվ ջրերի հայտնվելու նկատմամբ:</w:t>
      </w:r>
    </w:p>
    <w:p>
      <w:pPr>
        <w:numPr>
          <w:ilvl w:val="0"/>
          <w:numId w:val="7"/>
        </w:numPr>
      </w:pPr>
      <w:r>
        <w:rPr/>
        <w:t xml:space="preserve">Իրականցվում են փոշեզատման, վթարների, միջադեպերի և դժբախտ պատահարների տեխնիկական պատճառների ուսումնասիրություններ և ներկայացվում առաջարկություններ այդ պատճառների վերացման համար:</w:t>
      </w:r>
    </w:p>
    <w:p>
      <w:pPr>
        <w:numPr>
          <w:ilvl w:val="0"/>
          <w:numId w:val="7"/>
        </w:numPr>
      </w:pPr>
      <w:r>
        <w:rPr/>
        <w:t xml:space="preserve">Լցակույտերում դիտանցումն իրականացվում է ամենօրյա ռեժիմով: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ԴԻՏԱՆՑՈՒՄ </w:t>
      </w:r>
      <w:r>
        <w:rPr>
          <w:b w:val="1"/>
          <w:bCs w:val="1"/>
        </w:rPr>
        <w:t xml:space="preserve">ԸՆԴԵՐՔՕԳՏԱԳՈՐԾՄԱՆ</w:t>
      </w:r>
      <w:r>
        <w:rPr/>
        <w:t xml:space="preserve"> </w:t>
      </w:r>
      <w:r>
        <w:rPr>
          <w:b w:val="1"/>
          <w:bCs w:val="1"/>
        </w:rPr>
        <w:t xml:space="preserve">ԹԱՓՈՆՆԵՐԻ</w:t>
      </w:r>
      <w:r>
        <w:rPr>
          <w:b w:val="1"/>
          <w:bCs w:val="1"/>
        </w:rPr>
        <w:t xml:space="preserve"> ՕԲՅԵԿՏՆԵՐԻ և ԱԶԴԵՑՈՒԹՅԱՆ ՏԱՐԱԾՔՆԵՐԻ ՍՏՈՐԵՐԿՐՅԱ ՋՐԵՐԻ ՆԿԱՏՄԱՄԲ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8"/>
        </w:numPr>
      </w:pPr>
      <w:r>
        <w:rPr/>
        <w:t xml:space="preserve"> Ստորերկրյա ջրերի նկատմամբ դիտանցումը իրականացվում է թափոնների տեղադրման օբյեկտներում (պոչամբարում, լցակույտերում, տարալվացման կույտերից ձևավորված լցակույտերում, խարամակուտակիչներում և այլն) և դրանց ազդեցության տարածքներում:</w:t>
      </w:r>
    </w:p>
    <w:p>
      <w:pPr>
        <w:numPr>
          <w:ilvl w:val="0"/>
          <w:numId w:val="8"/>
        </w:numPr>
      </w:pPr>
      <w:r>
        <w:rPr/>
        <w:t xml:space="preserve">Ստորերկրյա և ցամաքուրդային ջրերի նկատմամբ դիտանցումը իրականացվում է դիտողական ջրհորներում և հորատանցքերում, որոնք տեղադրված են անմիջական օբյեկտում, իսկ եթե այդպիսին հնարավոր չէ՝ ազդեցության տարածքում, կանխատեսվող աղտոտման գոտու շրջանակներում:</w:t>
      </w:r>
    </w:p>
    <w:p>
      <w:pPr>
        <w:numPr>
          <w:ilvl w:val="0"/>
          <w:numId w:val="8"/>
        </w:numPr>
      </w:pPr>
      <w:r>
        <w:rPr/>
        <w:t xml:space="preserve">Դիտողական ջրհորերի և հորատանցքերի քանակը որոշվում է նախագծային փաստաթղթերով՝ կոնկրետ տվյալ օբյեկտի համար, հաշվի առնելով տարածքի ռելիեֆի և ջրերկրաբանական պայմանների բարդության աստիճանը:</w:t>
      </w:r>
    </w:p>
    <w:p>
      <w:pPr>
        <w:numPr>
          <w:ilvl w:val="0"/>
          <w:numId w:val="8"/>
        </w:numPr>
      </w:pPr>
      <w:r>
        <w:rPr/>
        <w:t xml:space="preserve">Դիտողական հորատանցքերի և ջրհորների ցանցում պետք է նախատեսվեն հորատանցքեր նաև ստորերկրյա ջրերի վրա վնասակար ազդեցության գոտու սահմաններից դուրս, ստորերկրյա ջրերի բնական հոսքի շարժման վերին և ստորին հոսանքներում:</w:t>
      </w:r>
    </w:p>
    <w:p>
      <w:pPr>
        <w:numPr>
          <w:ilvl w:val="0"/>
          <w:numId w:val="8"/>
        </w:numPr>
      </w:pPr>
      <w:r>
        <w:rPr/>
        <w:t xml:space="preserve">Կույտային տարալվացման հարթակների շահագործման ժամանակ պետք է նախատեսվի նաև վերահսկիչ-ցամաքուրդային հորատանցքերի տեղադրում՝ ստորերկրյա ջրերի շարժման ուղղությամբ:</w:t>
      </w:r>
    </w:p>
    <w:p>
      <w:pPr>
        <w:numPr>
          <w:ilvl w:val="0"/>
          <w:numId w:val="8"/>
        </w:numPr>
      </w:pPr>
      <w:r>
        <w:rPr/>
        <w:t xml:space="preserve">Տեխնոլոգիական լուծույթների վթարային ներծծումային ստորերկրյա արտահոսքի դեպքում վերահսկիչ-ցամաքուրդային հորատանցքերից իրականացվում է աղտոտված ջրերի արտամղում և դրանց վերադարձը կույտային տարալվացման տեղամասի կեղտաջրերի կուտակման միջանկյալ տարաներ:</w:t>
      </w:r>
    </w:p>
    <w:p>
      <w:pPr>
        <w:numPr>
          <w:ilvl w:val="0"/>
          <w:numId w:val="8"/>
        </w:numPr>
      </w:pPr>
      <w:r>
        <w:rPr/>
        <w:t xml:space="preserve">Օբյեկտներում դիտանցում իրականացնող ընդերքօգտագործողները պարտավոր են՝</w:t>
      </w:r>
    </w:p>
    <w:p>
      <w:pPr/>
      <w:r>
        <w:rPr/>
        <w:t xml:space="preserve">1) ապահովել դիտողական հորատանցքերի և ջրհորների տեխնիկական անխափանությունը  և գործիքային հագեցվածությունը, ներառյալ ջրի արտամղման և նմուշարկման համար պոմպային սարքավորումներով,</w:t>
      </w:r>
    </w:p>
    <w:p>
      <w:pPr/>
      <w:r>
        <w:rPr/>
        <w:t xml:space="preserve">2) աշխատանքային վիճակում պահպանել, այդ թվում նաև անհրաժեշտ վերանորոգման միջոցով, դիտողական հորատանցքերը և ջրհորները,</w:t>
      </w:r>
    </w:p>
    <w:p>
      <w:pPr>
        <w:numPr>
          <w:ilvl w:val="0"/>
          <w:numId w:val="9"/>
        </w:numPr>
      </w:pPr>
      <w:r>
        <w:rPr/>
        <w:t xml:space="preserve">Ստորերկրյա ջրերի նմուշարկման ժամանակ իրականացվում է նախնական արտամղում մինչև կախված նյութերի դուրս բերումը և հետագայում ջրատար հորիզոնում ջրի մակարդակի վերականգնումը:</w:t>
      </w:r>
    </w:p>
    <w:p>
      <w:pPr>
        <w:jc w:val="center"/>
      </w:pPr>
      <w:r>
        <w:rPr>
          <w:b w:val="1"/>
          <w:bCs w:val="1"/>
        </w:rPr>
        <w:t xml:space="preserve">ԴԻՏԱՆՑՈՒՄ  ԸՆԴԵՐՔՕԳՏԱԳՈՐԾՄԱՆ ԹԱՓՈՆՆԵՐԻ ՕԲՅԵԿՏՆԵՐԻ և ԱԶԴԵՑՈՒԹՅԱՆ ՏԱՐԱԾՔՆԵՐԻ ՄԱԿԵՐԵՎՈՒԹԱՅԻՆ ՋՐԵՐԻ ՆԿԱՏՄԱՄԲ</w:t>
      </w:r>
    </w:p>
    <w:p>
      <w:pPr/>
      <w:r>
        <w:rPr/>
        <w:t xml:space="preserve"> </w:t>
      </w:r>
    </w:p>
    <w:p>
      <w:pPr>
        <w:numPr>
          <w:ilvl w:val="0"/>
          <w:numId w:val="10"/>
        </w:numPr>
      </w:pPr>
      <w:r>
        <w:rPr/>
        <w:t xml:space="preserve">Մակերևութային ջրերի նկատմամբ դիտանցումը իրականացվում է թափոնների տեղադրման օբյեկտներից դուրս հոսող բոլոր ջրերի հանդեպ, ինչպես նաև դրանց բեռնաթափման գետերում, լճերում, արհեստական ջրամբարներում և այլն:</w:t>
      </w:r>
    </w:p>
    <w:p>
      <w:pPr>
        <w:numPr>
          <w:ilvl w:val="0"/>
          <w:numId w:val="10"/>
        </w:numPr>
      </w:pPr>
      <w:r>
        <w:rPr/>
        <w:t xml:space="preserve">Դիտողական կետերի քանակը որոշվում է նախագծային փաստաթղթերով կոնկրետ տվյալ օբյեկտի համար, հաշվի առնելով տարածքի ռելիեֆի և ջրաբանական պայմանների բարդության աստիճանը:</w:t>
      </w:r>
    </w:p>
    <w:p>
      <w:pPr>
        <w:numPr>
          <w:ilvl w:val="0"/>
          <w:numId w:val="10"/>
        </w:numPr>
      </w:pPr>
      <w:r>
        <w:rPr/>
        <w:t xml:space="preserve">Դիտողական կետերի ցանցում պետք է ստեղծվեն կետեր, որոնք տեղադրվում են օբյեկտներից հոսող ջրերը մակերևութային ջրերի խառնման տեղից բնական հոսքի շարժման վերին և ստորին հոսանքներում:</w:t>
      </w:r>
    </w:p>
    <w:p>
      <w:pPr>
        <w:numPr>
          <w:ilvl w:val="0"/>
          <w:numId w:val="10"/>
        </w:numPr>
      </w:pPr>
      <w:r>
        <w:rPr/>
        <w:t xml:space="preserve">Օբյեկտներում դիտանցում իրականացնող ընդերքօգտագործողները պարտավոր են՝</w:t>
      </w:r>
    </w:p>
    <w:p>
      <w:pPr/>
      <w:r>
        <w:rPr/>
        <w:t xml:space="preserve">          1) ապահովել դիտողական կետերի տեխնիկական անխափանությունը  և գործիքային հագեցվածությունը,</w:t>
      </w:r>
    </w:p>
    <w:p>
      <w:pPr/>
      <w:r>
        <w:rPr/>
        <w:t xml:space="preserve">          2) աշխատանքային վիճակում պահպանել, այդ թվում նաև անհրաժեշտ վերանորոգման միջոցով, դիտողական կետերը</w:t>
      </w:r>
    </w:p>
    <w:p>
      <w:pPr>
        <w:numPr>
          <w:ilvl w:val="0"/>
          <w:numId w:val="11"/>
        </w:numPr>
      </w:pPr>
      <w:r>
        <w:rPr/>
        <w:t xml:space="preserve"> Մակերևութային ջրերի դիտողական կետերում իրականացվում է ջրի ծախսի, ընդհանուր հանքայնացման չափում և որակական հատկանիշների որոշում:</w:t>
      </w:r>
    </w:p>
    <w:p>
      <w:pPr>
        <w:numPr>
          <w:ilvl w:val="0"/>
          <w:numId w:val="11"/>
        </w:numPr>
      </w:pPr>
      <w:r>
        <w:rPr/>
        <w:t xml:space="preserve">Օբյեկտներից դուրս հոսող կեղտաջրերի մաքրման կայաններում իրականացվում է դիտանցում ինչպես կայան մտնող, այնպես էլ դուրս հոսող ջրերի հանդեպ:</w:t>
      </w:r>
    </w:p>
    <w:p>
      <w:pPr>
        <w:numPr>
          <w:ilvl w:val="0"/>
          <w:numId w:val="11"/>
        </w:numPr>
      </w:pPr>
      <w:r>
        <w:rPr/>
        <w:t xml:space="preserve">28. Յուրաքանչյուր կոնկրետ օբյեկտի համար մակերևութային և ստորերկրյա ջրերի համար որոշվում է նաև այն չափորոշիչները, որոնք կարող են դառնալ աղտոտման աղբյուր կամ ենթարկվել աղտոտման ազդեցության: Այդ չափորոշիչների ցանկը կազմվում է նախօրոք, նախագծման փուլում:</w:t>
      </w:r>
    </w:p>
    <w:p>
      <w:pPr>
        <w:numPr>
          <w:ilvl w:val="0"/>
          <w:numId w:val="11"/>
        </w:numPr>
      </w:pPr>
      <w:r>
        <w:rPr/>
        <w:t xml:space="preserve">29. Ընդերքօգտագործողները օբյեկտում մակերևութային կամ ստորեկրյա ջրերի հանդեպ դիտարկումներն իրականացնում են՝ անվտանգ լցակույտերում չորս ամիսը մեկ անգամ, տարալվացման հարթակներից առաջացած լցակույտերում և պոչամաբարներում ամիսը մեկ անգամ, այդ թվում՝ նաև հորատանցքում կամ ջրհորում ջրի առավելագույն և նվազագույն մակարդակների ժամանակ:</w:t>
      </w:r>
    </w:p>
    <w:p>
      <w:pPr>
        <w:numPr>
          <w:ilvl w:val="0"/>
          <w:numId w:val="11"/>
        </w:numPr>
      </w:pPr>
      <w:r>
        <w:rPr/>
        <w:t xml:space="preserve">Ընդերքօգտագործողները յուրաքանչյուր օբյեկտում մակերևութային և ստորերկրյա ջրերի ֆոնային չափորոշիչներից որևէ մեկի էական շեղումներ հայտնաբերելու դեպքում դիտարկումներն իրականացվում են ուժեղացված ռեժիմով, որի պարբերականությունը որոշում է ինքը:</w:t>
      </w:r>
    </w:p>
    <w:p>
      <w:pPr>
        <w:numPr>
          <w:ilvl w:val="0"/>
          <w:numId w:val="11"/>
        </w:numPr>
      </w:pPr>
      <w:r>
        <w:rPr/>
        <w:t xml:space="preserve">31. Դիտանցման արդյունքում յուրաքանչյուր օբյեկտի համար ստեղծվում է տվյալների բազա` շտեմարան, որտեղ պարբերաբար գրանցվում են դիտարկման արդյունքները: Կազմվում են մակերևութային կամ ստորերկրյան ջրի ծախսի, մակարդակի կորեր և այլ գրաֆիկական պատկերներ, որտեղ արտացոլվում են տվյալ օբյեկտին յուրահատուկ չափորոշիչների փոփոխման առանձնահատկությունները:</w:t>
      </w:r>
    </w:p>
    <w:p>
      <w:pPr>
        <w:numPr>
          <w:ilvl w:val="0"/>
          <w:numId w:val="11"/>
        </w:numPr>
      </w:pPr>
      <w:r>
        <w:rPr/>
        <w:t xml:space="preserve">Ստորերկրյա և մակերևութային ջրերից վերցված նմուշներում պետք է որոշվի աղյուսակ 1-ում նշված չափորոշիչները: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Ստորերկրյա և մակերևութային </w:t>
      </w:r>
      <w:r>
        <w:rPr>
          <w:b w:val="1"/>
          <w:bCs w:val="1"/>
        </w:rPr>
        <w:t xml:space="preserve">ջրերի </w:t>
      </w:r>
      <w:r>
        <w:rPr>
          <w:b w:val="1"/>
          <w:bCs w:val="1"/>
        </w:rPr>
        <w:t xml:space="preserve">որակական չափորոշիչները</w:t>
      </w:r>
    </w:p>
    <w:p>
      <w:pPr/>
      <w:r>
        <w:rPr/>
        <w:t xml:space="preserve"> </w:t>
      </w:r>
    </w:p>
    <w:p>
      <w:pPr/>
      <w:r>
        <w:rPr/>
        <w:t xml:space="preserve"> Աղյուսակ 1</w:t>
      </w:r>
    </w:p>
    <w:tbl>
      <w:tblGrid>
        <w:gridCol w:w="3780" w:type="dxa"/>
        <w:gridCol w:w="990" w:type="dxa"/>
        <w:gridCol w:w="1410" w:type="dxa"/>
        <w:gridCol w:w="1275" w:type="dxa"/>
        <w:gridCol w:w="1260" w:type="dxa"/>
      </w:tblGrid>
      <w:tblPr>
        <w:tblW w:w="8715" w:type="dxa"/>
        <w:tblLayout w:type="autofit"/>
      </w:tblPr>
      <w:tr>
        <w:trPr/>
        <w:tc>
          <w:tcPr>
            <w:tcW w:w="3780" w:type="dxa"/>
            <w:noWrap/>
          </w:tcPr>
          <w:p>
            <w:pPr/>
            <w:r>
              <w:rPr/>
              <w:t xml:space="preserve">Ցուցանիշի անվանումը</w:t>
            </w:r>
          </w:p>
        </w:tc>
        <w:tc>
          <w:tcPr>
            <w:tcW w:w="3690" w:type="dxa"/>
            <w:gridSpan w:val="3"/>
            <w:noWrap/>
          </w:tcPr>
          <w:p>
            <w:pPr/>
            <w:r>
              <w:rPr/>
              <w:t xml:space="preserve">Պարունակությունը մեկ լիտրում</w:t>
            </w:r>
          </w:p>
        </w:tc>
        <w:tc>
          <w:tcPr>
            <w:tcW w:w="1260" w:type="dxa"/>
            <w:noWrap/>
          </w:tcPr>
          <w:p>
            <w:pPr/>
            <w:r>
              <w:rPr/>
              <w:t xml:space="preserve">ՍԹՔ</w:t>
            </w:r>
          </w:p>
        </w:tc>
      </w:tr>
      <w:tr>
        <w:trPr/>
        <w:tc>
          <w:tcPr>
            <w:tcW w:w="990" w:type="dxa"/>
            <w:noWrap/>
          </w:tcPr>
          <w:p>
            <w:pPr/>
            <w:r>
              <w:rPr/>
              <w:t xml:space="preserve">մգ/լ</w:t>
            </w:r>
          </w:p>
        </w:tc>
        <w:tc>
          <w:tcPr>
            <w:tcW w:w="1410" w:type="dxa"/>
            <w:noWrap/>
          </w:tcPr>
          <w:p>
            <w:pPr/>
            <w:r>
              <w:rPr/>
              <w:t xml:space="preserve">մգ-էկվ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մգ-էկվ, %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Նատրիում, Na</w:t>
            </w:r>
            <w:r>
              <w:rPr>
                <w:vertAlign w:val="superscript"/>
              </w:rPr>
              <w:t xml:space="preserve">+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1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6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Կալիում K</w:t>
            </w:r>
            <w:r>
              <w:rPr>
                <w:vertAlign w:val="superscript"/>
              </w:rPr>
              <w:t xml:space="preserve">+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1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6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Ամոնիում, NH</w:t>
            </w:r>
            <w:r>
              <w:rPr>
                <w:vertAlign w:val="subscript"/>
              </w:rPr>
              <w:t xml:space="preserve">4</w:t>
            </w:r>
            <w:r>
              <w:rPr>
                <w:vertAlign w:val="superscript"/>
              </w:rPr>
              <w:t xml:space="preserve">+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1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6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Կալցիում, Ca</w:t>
            </w:r>
            <w:r>
              <w:rPr>
                <w:vertAlign w:val="superscript"/>
              </w:rPr>
              <w:t xml:space="preserve">2+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1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6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Մագնեզիում, Mg</w:t>
            </w:r>
            <w:r>
              <w:rPr>
                <w:vertAlign w:val="superscript"/>
              </w:rPr>
              <w:t xml:space="preserve">2+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1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6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Երկաթ, Fe</w:t>
            </w:r>
            <w:r>
              <w:rPr>
                <w:vertAlign w:val="superscript"/>
              </w:rPr>
              <w:t xml:space="preserve">++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1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6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Երկաթ, Fe</w:t>
            </w:r>
            <w:r>
              <w:rPr>
                <w:vertAlign w:val="superscript"/>
              </w:rPr>
              <w:t xml:space="preserve">+++</w:t>
            </w:r>
            <w:r>
              <w:rPr/>
              <w:t xml:space="preserve"> 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1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6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Կադմիում, Cd</w:t>
            </w:r>
            <w:r>
              <w:rPr>
                <w:vertAlign w:val="superscript"/>
              </w:rPr>
              <w:t xml:space="preserve">++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1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6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Քրոմ, Cr</w:t>
            </w:r>
            <w:r>
              <w:rPr>
                <w:vertAlign w:val="superscript"/>
              </w:rPr>
              <w:t xml:space="preserve">++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1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6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Կապար,  Pb</w:t>
            </w:r>
            <w:r>
              <w:rPr>
                <w:vertAlign w:val="superscript"/>
              </w:rPr>
              <w:t xml:space="preserve">++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1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6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Սնդիկ, Hg</w:t>
            </w:r>
            <w:r>
              <w:rPr>
                <w:vertAlign w:val="superscript"/>
              </w:rPr>
              <w:t xml:space="preserve">++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1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6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>
                <w:b w:val="1"/>
                <w:bCs w:val="1"/>
              </w:rPr>
              <w:t xml:space="preserve">Ընդամենը, կատիոններ`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1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6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Սուլֆատ, SO</w:t>
            </w:r>
            <w:r>
              <w:rPr>
                <w:vertAlign w:val="subscript"/>
              </w:rPr>
              <w:t xml:space="preserve">4</w:t>
            </w:r>
            <w:r>
              <w:rPr>
                <w:vertAlign w:val="superscript"/>
              </w:rPr>
              <w:t xml:space="preserve">2-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1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6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Քլորիդ, Cl-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1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6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Նիտրիտ, NO</w:t>
            </w:r>
            <w:r>
              <w:rPr>
                <w:vertAlign w:val="subscript"/>
              </w:rPr>
              <w:t xml:space="preserve">2</w:t>
            </w:r>
            <w:r>
              <w:rPr>
                <w:vertAlign w:val="superscript"/>
              </w:rPr>
              <w:t xml:space="preserve">-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1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6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Նիտրատ, NO</w:t>
            </w:r>
            <w:r>
              <w:rPr>
                <w:vertAlign w:val="subscript"/>
              </w:rPr>
              <w:t xml:space="preserve">3</w:t>
            </w:r>
            <w:r>
              <w:rPr>
                <w:vertAlign w:val="superscript"/>
              </w:rPr>
              <w:t xml:space="preserve">-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1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6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Հիդրոկարբոնատ, HCO</w:t>
            </w:r>
            <w:r>
              <w:rPr>
                <w:vertAlign w:val="subscript"/>
              </w:rPr>
              <w:t xml:space="preserve">3</w:t>
            </w:r>
            <w:r>
              <w:rPr>
                <w:vertAlign w:val="superscript"/>
              </w:rPr>
              <w:t xml:space="preserve">-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1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6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Յոդ, I</w:t>
            </w:r>
            <w:r>
              <w:rPr>
                <w:vertAlign w:val="superscript"/>
              </w:rPr>
              <w:t xml:space="preserve">-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1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6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Բրոմ, Br </w:t>
            </w:r>
            <w:r>
              <w:rPr>
                <w:vertAlign w:val="superscript"/>
              </w:rPr>
              <w:t xml:space="preserve">-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1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6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Ֆտորիդ, F</w:t>
            </w:r>
            <w:r>
              <w:rPr>
                <w:vertAlign w:val="superscript"/>
              </w:rPr>
              <w:t xml:space="preserve">-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1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6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Հիդրոսուլֆիդ HS</w:t>
            </w:r>
            <w:r>
              <w:rPr>
                <w:vertAlign w:val="superscript"/>
              </w:rPr>
              <w:t xml:space="preserve">-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1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6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Կարբոնատ CO</w:t>
            </w:r>
            <w:r>
              <w:rPr>
                <w:vertAlign w:val="subscript"/>
              </w:rPr>
              <w:t xml:space="preserve">3</w:t>
            </w:r>
            <w:r>
              <w:rPr>
                <w:vertAlign w:val="superscript"/>
              </w:rPr>
              <w:t xml:space="preserve">2</w:t>
            </w:r>
            <w:r>
              <w:rPr/>
              <w:t xml:space="preserve">-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1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6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Հիդրոարսենիտ H</w:t>
            </w:r>
            <w:r>
              <w:rPr>
                <w:vertAlign w:val="subscript"/>
              </w:rPr>
              <w:t xml:space="preserve">2</w:t>
            </w:r>
            <w:r>
              <w:rPr/>
              <w:t xml:space="preserve"> AsO</w:t>
            </w:r>
            <w:r>
              <w:rPr>
                <w:vertAlign w:val="subscript"/>
              </w:rPr>
              <w:t xml:space="preserve">4</w:t>
            </w:r>
            <w:r>
              <w:rPr>
                <w:vertAlign w:val="superscript"/>
              </w:rPr>
              <w:t xml:space="preserve">2-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1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6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>
                <w:b w:val="1"/>
                <w:bCs w:val="1"/>
              </w:rPr>
              <w:t xml:space="preserve">Ընդամենը, անիոններ`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1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6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Ընդհանուր հանքայնացում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1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6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pH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1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6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>
                <w:b w:val="1"/>
                <w:bCs w:val="1"/>
              </w:rPr>
              <w:t xml:space="preserve">Չդիսոցվող մոլեկուլներ՝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1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6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Մետաբորաթթու HBՕ</w:t>
            </w:r>
            <w:r>
              <w:rPr>
                <w:vertAlign w:val="subscript"/>
              </w:rPr>
              <w:t xml:space="preserve">2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1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6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Ծծմբաջրածին ընդ. (H</w:t>
            </w:r>
            <w:r>
              <w:rPr>
                <w:vertAlign w:val="subscript"/>
              </w:rPr>
              <w:t xml:space="preserve">2</w:t>
            </w:r>
            <w:r>
              <w:rPr/>
              <w:t xml:space="preserve">S+HS)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1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6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Սիլիկաթթու, H</w:t>
            </w:r>
            <w:r>
              <w:rPr>
                <w:vertAlign w:val="subscript"/>
              </w:rPr>
              <w:t xml:space="preserve">2</w:t>
            </w:r>
            <w:r>
              <w:rPr/>
              <w:t xml:space="preserve"> SiO</w:t>
            </w:r>
            <w:r>
              <w:rPr>
                <w:vertAlign w:val="subscript"/>
              </w:rPr>
              <w:t xml:space="preserve">3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1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6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Արսենաթթու H</w:t>
            </w:r>
            <w:r>
              <w:rPr>
                <w:vertAlign w:val="subscript"/>
              </w:rPr>
              <w:t xml:space="preserve">3</w:t>
            </w:r>
            <w:r>
              <w:rPr/>
              <w:t xml:space="preserve"> AsO</w:t>
            </w:r>
            <w:r>
              <w:rPr>
                <w:vertAlign w:val="superscript"/>
              </w:rPr>
              <w:t xml:space="preserve">3</w:t>
            </w:r>
            <w:r>
              <w:rPr/>
              <w:t xml:space="preserve"> կամ H</w:t>
            </w:r>
            <w:r>
              <w:rPr>
                <w:vertAlign w:val="subscript"/>
              </w:rPr>
              <w:t xml:space="preserve">3</w:t>
            </w:r>
            <w:r>
              <w:rPr/>
              <w:t xml:space="preserve">AsO</w:t>
            </w:r>
            <w:r>
              <w:rPr>
                <w:vertAlign w:val="superscript"/>
              </w:rPr>
              <w:t xml:space="preserve">4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1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6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Ածխածնի երկօքսիդ CO</w:t>
            </w:r>
            <w:r>
              <w:rPr>
                <w:vertAlign w:val="subscript"/>
              </w:rPr>
              <w:t xml:space="preserve">2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1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6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Ցիանիդներ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1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6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>
                <w:b w:val="1"/>
                <w:bCs w:val="1"/>
              </w:rPr>
              <w:t xml:space="preserve">Ֆիզիկական հատկություններ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1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6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Պղտորությունը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1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6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Համը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1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6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Հոտը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1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6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Գույնը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1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6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Նստվածք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1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60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ԴԻՏԱՆՑՈՒՄ ԸՆԴԵՐՔՕԳՏԱԳՈՐԾՄԱՆ ԹԱՓՈՆՆԵՐԻ ՕԲՅԵԿՏՆԵՐԻ</w:t>
      </w:r>
    </w:p>
    <w:p>
      <w:pPr>
        <w:jc w:val="center"/>
      </w:pPr>
      <w:r>
        <w:rPr>
          <w:b w:val="1"/>
          <w:bCs w:val="1"/>
        </w:rPr>
        <w:t xml:space="preserve">ՄԹՆՈԼՈՐ</w:t>
      </w:r>
      <w:r>
        <w:rPr>
          <w:b w:val="1"/>
          <w:bCs w:val="1"/>
        </w:rPr>
        <w:t xml:space="preserve">Տ</w:t>
      </w:r>
      <w:r>
        <w:rPr>
          <w:b w:val="1"/>
          <w:bCs w:val="1"/>
        </w:rPr>
        <w:t xml:space="preserve">ԱՅԻՆ ՕԴԻ ՆԿԱՏՄԱՄԲ</w:t>
      </w:r>
    </w:p>
    <w:p>
      <w:pPr/>
      <w:r>
        <w:rPr/>
        <w:t xml:space="preserve"> </w:t>
      </w:r>
    </w:p>
    <w:p>
      <w:pPr>
        <w:numPr>
          <w:ilvl w:val="0"/>
          <w:numId w:val="12"/>
        </w:numPr>
      </w:pPr>
      <w:r>
        <w:rPr/>
        <w:t xml:space="preserve">Օբյեկտներում պետք է իրականացվի դիտանցում մթնոլորտային օդը աղտոտող նյութերի արտանետման նկատմամբ:</w:t>
      </w:r>
    </w:p>
    <w:p>
      <w:pPr>
        <w:numPr>
          <w:ilvl w:val="0"/>
          <w:numId w:val="12"/>
        </w:numPr>
      </w:pPr>
      <w:r>
        <w:rPr/>
        <w:t xml:space="preserve">Դիտանցում է իրականացվում մթնոլորտային օդ արտանետող բոլոր աղտոտող նյութերի աղբյուրների նկատմամբ, որոնց համար սահմանված են նորմատիվներ:</w:t>
      </w:r>
    </w:p>
    <w:p>
      <w:pPr>
        <w:numPr>
          <w:ilvl w:val="0"/>
          <w:numId w:val="12"/>
        </w:numPr>
      </w:pPr>
      <w:r>
        <w:rPr/>
        <w:t xml:space="preserve"> Իրականցվում է օդում կախված մասնիկների նմուշարկում, դրանց մեջ ծանր մետաղների պարունակությունը որոշելու համար: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ԴԻՏԱՆՑՈՒՄ</w:t>
      </w:r>
      <w:r>
        <w:rPr/>
        <w:t xml:space="preserve"> </w:t>
      </w:r>
      <w:r>
        <w:rPr>
          <w:b w:val="1"/>
          <w:bCs w:val="1"/>
        </w:rPr>
        <w:t xml:space="preserve">ԸՆԴԵՐՔՕԳՏԱԳՈՐԾՄԱՆ</w:t>
      </w:r>
      <w:r>
        <w:rPr/>
        <w:t xml:space="preserve"> </w:t>
      </w:r>
      <w:r>
        <w:rPr>
          <w:b w:val="1"/>
          <w:bCs w:val="1"/>
        </w:rPr>
        <w:t xml:space="preserve">ԹԱՓՈՆՆԵՐԻ</w:t>
      </w:r>
      <w:r>
        <w:rPr/>
        <w:t xml:space="preserve"> </w:t>
      </w:r>
      <w:r>
        <w:rPr>
          <w:b w:val="1"/>
          <w:bCs w:val="1"/>
        </w:rPr>
        <w:t xml:space="preserve">ՕԲՅԵԿՏՆԵՐԻ</w:t>
      </w:r>
      <w:r>
        <w:rPr/>
        <w:t xml:space="preserve"> </w:t>
      </w:r>
      <w:r>
        <w:rPr>
          <w:b w:val="1"/>
          <w:bCs w:val="1"/>
        </w:rPr>
        <w:t xml:space="preserve">ՀՈՂԵՐԻ</w:t>
      </w:r>
      <w:r>
        <w:rPr/>
        <w:t xml:space="preserve"> </w:t>
      </w:r>
      <w:r>
        <w:rPr>
          <w:b w:val="1"/>
          <w:bCs w:val="1"/>
        </w:rPr>
        <w:t xml:space="preserve">և</w:t>
      </w:r>
      <w:r>
        <w:rPr>
          <w:b w:val="1"/>
          <w:bCs w:val="1"/>
        </w:rPr>
        <w:t xml:space="preserve"> ԱԶԴԵՑՈՒԹՅԱՆ </w:t>
      </w:r>
      <w:r>
        <w:rPr>
          <w:b w:val="1"/>
          <w:bCs w:val="1"/>
        </w:rPr>
        <w:t xml:space="preserve">ՏԱՐԱԾՔՆԵՐԻ</w:t>
      </w:r>
      <w:r>
        <w:rPr/>
        <w:t xml:space="preserve"> </w:t>
      </w:r>
      <w:r>
        <w:rPr>
          <w:b w:val="1"/>
          <w:bCs w:val="1"/>
        </w:rPr>
        <w:t xml:space="preserve">ՀՈՂԵՐԻ</w:t>
      </w:r>
      <w:r>
        <w:rPr/>
        <w:t xml:space="preserve"> </w:t>
      </w:r>
      <w:r>
        <w:rPr>
          <w:b w:val="1"/>
          <w:bCs w:val="1"/>
        </w:rPr>
        <w:t xml:space="preserve">ՆԿԱՏՄԱՄԲ</w:t>
      </w:r>
    </w:p>
    <w:p>
      <w:pPr/>
      <w:r>
        <w:rPr/>
        <w:t xml:space="preserve"> </w:t>
      </w:r>
    </w:p>
    <w:p>
      <w:pPr>
        <w:numPr>
          <w:ilvl w:val="0"/>
          <w:numId w:val="13"/>
        </w:numPr>
      </w:pPr>
      <w:r>
        <w:rPr/>
        <w:t xml:space="preserve"> Հողերի դիտանցման ժամանակ պետք է որոշվի ծանր մետաղների,սուլֆատների պարունակությունը և չափվի հողերի թթվայնության pH ցուցիչը:</w:t>
      </w:r>
    </w:p>
    <w:p>
      <w:pPr>
        <w:numPr>
          <w:ilvl w:val="0"/>
          <w:numId w:val="13"/>
        </w:numPr>
      </w:pPr>
      <w:r>
        <w:rPr/>
        <w:t xml:space="preserve">Հողերի աղտոտման գնահատման չափանիշ ընդունվում է աղտոտող նյութերի սահմանային թույլատրելի քանակները: Այդպիսիների բացակայության դեպքում աղտոտվածության մեծություների համեմատությունը ֆոնային կամ հողային կլարկների մեծությունների հետ: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ԴԻՏԱՆՑՈՒՄ</w:t>
      </w:r>
      <w:r>
        <w:rPr/>
        <w:t xml:space="preserve"> </w:t>
      </w:r>
      <w:r>
        <w:rPr>
          <w:b w:val="1"/>
          <w:bCs w:val="1"/>
        </w:rPr>
        <w:t xml:space="preserve">ԸՆԴԵՐՔՕԳՏԱԳՈՐԾՄԱՆ</w:t>
      </w:r>
      <w:r>
        <w:rPr/>
        <w:t xml:space="preserve"> </w:t>
      </w:r>
      <w:r>
        <w:rPr>
          <w:b w:val="1"/>
          <w:bCs w:val="1"/>
        </w:rPr>
        <w:t xml:space="preserve">ԹԱՓՈՆՆԵՐԻ</w:t>
      </w:r>
      <w:r>
        <w:rPr/>
        <w:t xml:space="preserve"> </w:t>
      </w:r>
      <w:r>
        <w:rPr>
          <w:b w:val="1"/>
          <w:bCs w:val="1"/>
        </w:rPr>
        <w:t xml:space="preserve">ՕԲՅԵԿՏՆԵՐԻ</w:t>
      </w:r>
    </w:p>
    <w:p>
      <w:pPr>
        <w:jc w:val="center"/>
      </w:pPr>
      <w:r>
        <w:rPr>
          <w:b w:val="1"/>
          <w:bCs w:val="1"/>
        </w:rPr>
        <w:t xml:space="preserve">ԱԶԴԵՑՈՒԹՅԱՆ </w:t>
      </w:r>
      <w:r>
        <w:rPr>
          <w:b w:val="1"/>
          <w:bCs w:val="1"/>
        </w:rPr>
        <w:t xml:space="preserve">ՏԱՐԱԾՔՆԵՐԻ</w:t>
      </w:r>
      <w:r>
        <w:rPr>
          <w:b w:val="1"/>
          <w:bCs w:val="1"/>
        </w:rPr>
        <w:t xml:space="preserve"> ԲՈՒՍԱԿԱՆ ԱՇԽԱՐՀԻ </w:t>
      </w:r>
      <w:r>
        <w:rPr>
          <w:b w:val="1"/>
          <w:bCs w:val="1"/>
        </w:rPr>
        <w:t xml:space="preserve">ՆԿԱՏՄԱՄԲ</w:t>
      </w:r>
    </w:p>
    <w:p>
      <w:pPr/>
      <w:r>
        <w:rPr/>
        <w:t xml:space="preserve"> </w:t>
      </w:r>
    </w:p>
    <w:p>
      <w:pPr>
        <w:numPr>
          <w:ilvl w:val="0"/>
          <w:numId w:val="14"/>
        </w:numPr>
      </w:pPr>
      <w:r>
        <w:rPr/>
        <w:t xml:space="preserve">Оբյեկտների հարակից տարածքներում պետք է իրականացվի դիտանցում բուսական աշխարհի կենսաբազմազանության նկատմամբ:</w:t>
      </w:r>
    </w:p>
    <w:p>
      <w:pPr>
        <w:numPr>
          <w:ilvl w:val="0"/>
          <w:numId w:val="14"/>
        </w:numPr>
      </w:pPr>
      <w:r>
        <w:rPr/>
        <w:t xml:space="preserve">Բուսական աշխարհի դիտանցման նպատակը պետք է լինի ընդերքօգտագործման թափոնների օբյեկտների շրջակա միջավայրի և բուսական աշխարհի կենսաբազմազանության պահպանումը և կանխումը վտանգավոր ազդեցություններից:</w:t>
      </w:r>
    </w:p>
    <w:p>
      <w:pPr>
        <w:numPr>
          <w:ilvl w:val="0"/>
          <w:numId w:val="14"/>
        </w:numPr>
      </w:pPr>
      <w:r>
        <w:rPr/>
        <w:t xml:space="preserve">Բուսական աշխարհի դիտանցումը ֆիտոինդիկացիոն մեթոդի վրա հիմված մշտական և պարբերական դիտարկումներ են բուսական աշխարհի օբյեկտների նկատմամբ, դրանց վիճակի և աճման միջավայրի գնահատման համար, ինչպես նաև զարգացման և փոփոխությունների ենթարկման կանխատեսումը՝ ընդերքօգտագործման թափոնների օբյեկտների ազդեցության  հետևանքով:</w:t>
      </w:r>
    </w:p>
    <w:p>
      <w:pPr>
        <w:numPr>
          <w:ilvl w:val="0"/>
          <w:numId w:val="14"/>
        </w:numPr>
      </w:pPr>
      <w:r>
        <w:rPr/>
        <w:t xml:space="preserve">Ընդերքօգտագորման թափոնների օբյեկտներում բուսական աշխարհի դիտանցումը իրականացնվում է հետևյալ ուղղություններով,</w:t>
      </w:r>
    </w:p>
    <w:p>
      <w:pPr/>
      <w:r>
        <w:rPr/>
        <w:t xml:space="preserve">1) լեռնային  բուսականության դիտանցում,</w:t>
      </w:r>
    </w:p>
    <w:p>
      <w:pPr/>
      <w:r>
        <w:rPr/>
        <w:t xml:space="preserve">2) մարգագետնային բուսականության դիտանցում,</w:t>
      </w:r>
    </w:p>
    <w:p>
      <w:pPr/>
      <w:r>
        <w:rPr/>
        <w:t xml:space="preserve">3) ջրային բուսականության դիտանցում,</w:t>
      </w:r>
    </w:p>
    <w:p>
      <w:pPr/>
      <w:r>
        <w:rPr/>
        <w:t xml:space="preserve">4) բույսերի և սնկերի պահպանվող (Կարմիր գրքում գրանցված) տեսակների դիտանցում,</w:t>
      </w:r>
    </w:p>
    <w:p>
      <w:pPr/>
      <w:r>
        <w:rPr/>
        <w:t xml:space="preserve">5) ռեսուրսաձևավորող բույսերի (հատապտուղներ և սնկեր) դիտանցում,</w:t>
      </w:r>
    </w:p>
    <w:p>
      <w:pPr/>
      <w:r>
        <w:rPr/>
        <w:t xml:space="preserve">6) անտառների դիտանցում,</w:t>
      </w:r>
    </w:p>
    <w:p>
      <w:pPr/>
      <w:r>
        <w:rPr/>
        <w:t xml:space="preserve">7) ինվազիվ բույսերի դիտանցում:</w:t>
      </w:r>
    </w:p>
    <w:p>
      <w:pPr>
        <w:numPr>
          <w:ilvl w:val="0"/>
          <w:numId w:val="15"/>
        </w:numPr>
      </w:pPr>
      <w:r>
        <w:rPr/>
        <w:t xml:space="preserve">Ընդերքօգտագործողները օբյեկտում բուսականության հանդեպ դիտարկումներն իրականացնում են՝ անվտանգ լցակույտերում չորս ամիսը մեկ անգամ, տարալվացման հարթակներից առաջացած լցակույտերում և պոչամաբարներում ամիսը մեկ անգամ:</w:t>
      </w:r>
    </w:p>
    <w:p>
      <w:pPr>
        <w:numPr>
          <w:ilvl w:val="0"/>
          <w:numId w:val="15"/>
        </w:numPr>
      </w:pPr>
      <w:r>
        <w:rPr/>
        <w:t xml:space="preserve"> Դիտանցման արդյունքում յուրաքանչյուր օբյեկտի համար ստեղծվում է բուսական աշխարհի տվյալների բազա` շտեմարան, որտեղ պարբերաբար գրանցվում են դիտարկման արդյունքները, ինչպես նաև տվյալ օբյեկտին յուրահատուկ բուսական աշխարհի տեսակների զարգացման և փոփոխման առանձնահատկությունները: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ԴԻՏԱՆՑՈՒՄ ԸՆԴԵՐՔՕԳՏԱԳՈՐԾՄԱՆ ԹԱՓՈՆՆԵՐԻ ՕԲՅԵԿՏՆԵՐԻ</w:t>
      </w:r>
    </w:p>
    <w:p>
      <w:pPr>
        <w:jc w:val="center"/>
      </w:pPr>
      <w:r>
        <w:rPr>
          <w:b w:val="1"/>
          <w:bCs w:val="1"/>
        </w:rPr>
        <w:t xml:space="preserve">ԱԶԴԵՑՈՒԹՅԱՆ ՏԱՐԱԾՔՆԵՐԻ ԿԵՆԴԱՆԱԿԱՆ ԱՇԽԱՐՀԻ ՆԿԱՏՄԱՄԲ</w:t>
      </w:r>
    </w:p>
    <w:p>
      <w:pPr/>
      <w:r>
        <w:rPr/>
        <w:t xml:space="preserve"> </w:t>
      </w:r>
    </w:p>
    <w:p>
      <w:pPr>
        <w:numPr>
          <w:ilvl w:val="0"/>
          <w:numId w:val="16"/>
        </w:numPr>
      </w:pPr>
      <w:r>
        <w:rPr/>
        <w:t xml:space="preserve">Կենդանական աշխարհի դիտանցմանն օբյեկտ են հանդիսանում վայրի կենդանիների հետևյալ տեսակները ՝ կաթնասունները, թռչունները, սողունները, ձկները, կրծողները, միջատները և այլ կենդանիներ, որոնք բնակվում են գետնում (մակերևույթում, հողում, ստորերկրյա դատարկություններում), մակերևութային ջրերում և մթնոլորդում ազատ բնական պայմաններում:</w:t>
      </w:r>
    </w:p>
    <w:p>
      <w:pPr>
        <w:numPr>
          <w:ilvl w:val="0"/>
          <w:numId w:val="16"/>
        </w:numPr>
      </w:pPr>
      <w:r>
        <w:rPr/>
        <w:t xml:space="preserve">Դիտանցում իրականցվում է՝</w:t>
      </w:r>
    </w:p>
    <w:p>
      <w:pPr/>
      <w:r>
        <w:rPr/>
        <w:t xml:space="preserve">1) Կարմիր գրքում գրանցված վայրի կենդանիների և դրանց ապրելու միջավայրի նկատմամբ,</w:t>
      </w:r>
    </w:p>
    <w:p>
      <w:pPr/>
      <w:r>
        <w:rPr/>
        <w:t xml:space="preserve">2)  միջազգային պայմանագրերի ազդեցության տակ գտնվող վայրի կենդանիների նկատմամբ,</w:t>
      </w:r>
    </w:p>
    <w:p>
      <w:pPr/>
      <w:r>
        <w:rPr/>
        <w:t xml:space="preserve">3) որսի օբյեկտ հանդիսացող վայրի կենդանիների և դրանց բնական միջավայրի նկատմամբ,</w:t>
      </w:r>
    </w:p>
    <w:p>
      <w:pPr>
        <w:numPr>
          <w:ilvl w:val="0"/>
          <w:numId w:val="17"/>
        </w:numPr>
      </w:pPr>
      <w:r>
        <w:rPr/>
        <w:t xml:space="preserve">Դիտանցման արդյուքնում պետք է ստացվի տեղեկատվություն հետևալի մասին՝</w:t>
      </w:r>
    </w:p>
    <w:p>
      <w:pPr/>
      <w:r>
        <w:rPr/>
        <w:t xml:space="preserve">1) վայրի կենդանիների տարածվածության արեալի և բնակատեղերի մասին,</w:t>
      </w:r>
    </w:p>
    <w:p>
      <w:pPr/>
      <w:r>
        <w:rPr/>
        <w:t xml:space="preserve">2) վայրի կենդանիների թվաքանակի մասին, այդ թվում Կարմիր գրքում գրանցված և միջազագային պայմանագրերի ազդեցության տակ գտնվողների,</w:t>
      </w:r>
    </w:p>
    <w:p>
      <w:pPr/>
      <w:r>
        <w:rPr/>
        <w:t xml:space="preserve">3) վայրի կենդանիների առանձին տեսակների աճի դինամիկայի և կառուցվածքի մասին,</w:t>
      </w:r>
    </w:p>
    <w:p>
      <w:pPr/>
      <w:r>
        <w:rPr/>
        <w:t xml:space="preserve">4) կենդանական աշխարհի վերատադրության գնահատման մասին,</w:t>
      </w:r>
    </w:p>
    <w:p>
      <w:pPr/>
      <w:r>
        <w:rPr/>
        <w:t xml:space="preserve">5) վայրի կենդանիների ֆիզիկական վիճակի մասին:</w:t>
      </w:r>
    </w:p>
    <w:p>
      <w:pPr>
        <w:numPr>
          <w:ilvl w:val="0"/>
          <w:numId w:val="18"/>
        </w:numPr>
      </w:pPr>
      <w:r>
        <w:rPr/>
        <w:t xml:space="preserve">Ընդերքօգտագործողները օբյեկտում կենդանական աշխարհի հանդեպ դիտարկումներն իրականացնում են տարեկան երկու անգամ:</w:t>
      </w:r>
    </w:p>
    <w:p>
      <w:pPr>
        <w:numPr>
          <w:ilvl w:val="0"/>
          <w:numId w:val="18"/>
        </w:numPr>
      </w:pPr>
      <w:r>
        <w:rPr/>
        <w:t xml:space="preserve">Դիտանցման արդյունքում յուրաքանչյուր օբյեկտի համար ստեղծվում է կենդանական աշխարհի տվյալների բազա` շտեմարան, որտեղ պարբերաբար գրանցվում են դիտարկման արդյունքները, ինչպես նաև տվյալ օբյեկտին յուրահատուկ կենդանական աշխարհի տեսակների զարգացման և փոփոխման առանձնահատկությունները: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F00FF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AFFE6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CD54DE3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6580E73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BD1A05B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B231A99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796BF55"/>
    <w:multiLevelType w:val="multilevel"/>
    <w:lvl w:ilvl="0">
      <w:start w:val="1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455D5E1"/>
    <w:multiLevelType w:val="multilevel"/>
    <w:lvl w:ilvl="0">
      <w:start w:val="2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30EC314"/>
    <w:multiLevelType w:val="multilevel"/>
    <w:lvl w:ilvl="0">
      <w:start w:val="2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85441A5"/>
    <w:multiLevelType w:val="multilevel"/>
    <w:lvl w:ilvl="0">
      <w:start w:val="2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5532894"/>
    <w:multiLevelType w:val="multilevel"/>
    <w:lvl w:ilvl="0">
      <w:start w:val="3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B07A3AE"/>
    <w:multiLevelType w:val="multilevel"/>
    <w:lvl w:ilvl="0">
      <w:start w:val="3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DE1BDB0"/>
    <w:multiLevelType w:val="multilevel"/>
    <w:lvl w:ilvl="0">
      <w:start w:val="3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0CF2F53"/>
    <w:multiLevelType w:val="multilevel"/>
    <w:lvl w:ilvl="0">
      <w:start w:val="4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3752BFC"/>
    <w:multiLevelType w:val="multilevel"/>
    <w:lvl w:ilvl="0">
      <w:start w:val="4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848DAEC"/>
    <w:multiLevelType w:val="multilevel"/>
    <w:lvl w:ilvl="0">
      <w:start w:val="4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0C24937"/>
    <w:multiLevelType w:val="multilevel"/>
    <w:lvl w:ilvl="0">
      <w:start w:val="4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2026-04-03T18:28:44+04:00</dcterms:created>
  <dcterms:modified xsi:type="dcterms:W3CDTF">2026-04-03T18:28:44+04:00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