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2016 ԹՎԱԿԱՆԻ ՕԳՈՍՏՈՍԻ 18-Ի  N 882 ՈՐՈՇՄԱՆ ՄԵՋ ՓՈՓՈԽՈՒԹՅՈՒՆ ԵՎ ԼՐԱՑՈՒՄՆԵՐ ԿԱՏԱՐԵԼՈՒ ՄԱՍԻՆ»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2020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_______</w:t>
      </w:r>
      <w:r>
        <w:rPr>
          <w:b w:val="1"/>
          <w:bCs w:val="1"/>
        </w:rPr>
        <w:t xml:space="preserve">N –Ն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2016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ՕԳՈՍՏՈՍԻ</w:t>
      </w:r>
      <w:r>
        <w:rPr>
          <w:b w:val="1"/>
          <w:bCs w:val="1"/>
        </w:rPr>
        <w:t xml:space="preserve"> 18-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 882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 ԵՎ ԼՐԱՑՈՒՄՆԵՐ ԿԱՏԱՐԵԼՈՒ ՄԱՍԻՆ</w:t>
      </w:r>
    </w:p>
    <w:p>
      <w:pPr>
        <w:jc w:val="both"/>
      </w:pPr>
      <w:r>
        <w:rPr/>
        <w:t xml:space="preserve"> Ղեկավարվելով «Հայաստանի Հանրապետության աշխատանքային օրենսգրքում լրացումներ և փոփոխություններ կատարելու մասին» 2015 թվականի հունիսի 22-ի N ՀՕ-96-Ն օրենքի 57-րդ հոդվածով և «Նորմատիվ իրավական ակտերի մասին» Հայաստանի Հանրապետության օրենքի 33-րդ, 34-րդ հոդվածներով`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օգոստոսի 18‑ի «Հայաստանի Հանրապետության կառավարության լիազորած պետական կառավարման մարմին ճանաչելու, աշխատանքային գրքույկները Հայաստանի Հանրապետության կառավարության լիազորած պետական կառավարման մարմին ներկայացնելու և աշխատողներին հանձնելու կարգը սահմանելու ու Հայաստանի Հանրապետության կառավարության 2006 թվականի հունիսի 16-ի N 876-Ն որոշումն ուժը կորցրած ճանաչելու մասին» N 882-Ն որոշման Հավելվածում (այսուհետ` Որոշում) կատարել հետևյալ փոփոխություններն ու լրացումները`</w:t>
      </w:r>
    </w:p>
    <w:p>
      <w:pPr>
        <w:numPr>
          <w:ilvl w:val="0"/>
          <w:numId w:val="3"/>
        </w:numPr>
      </w:pPr>
      <w:r>
        <w:rPr/>
        <w:t xml:space="preserve">Որոշման 2-րդ կետում «իր տարածքային բաժինների (այսուհետ՝ տարածքային բաժին)» բառերը փոխարինել «իր համապատասխան ստորաբաժանումների (այսուհետ՝ ստորաբաժանում)» բառերով, իսկ որոշման մնացած կետերում (ներառյալ Ձև-ում) ‹‹տարածքային բաժին›› բառերը համապատասխան հոլովաձևերով փոխարինել ‹‹ստորաբաժանում›› բառերով.</w:t>
      </w:r>
    </w:p>
    <w:p>
      <w:pPr>
        <w:numPr>
          <w:ilvl w:val="0"/>
          <w:numId w:val="3"/>
        </w:numPr>
      </w:pPr>
      <w:r>
        <w:rPr/>
        <w:t xml:space="preserve">Որոշման 3-րդ և 4-րդ կետերը ճանաչել ուժը կորցրած.</w:t>
      </w:r>
    </w:p>
    <w:p>
      <w:pPr>
        <w:numPr>
          <w:ilvl w:val="0"/>
          <w:numId w:val="3"/>
        </w:numPr>
      </w:pPr>
      <w:r>
        <w:rPr/>
        <w:t xml:space="preserve">Որոշումը լրացնել հետևյալ բովանդակությամբ 3.1-րդ կետով՝</w:t>
      </w:r>
    </w:p>
    <w:p>
      <w:pPr>
        <w:jc w:val="both"/>
      </w:pPr>
      <w:r>
        <w:rPr/>
        <w:t xml:space="preserve">          ‹‹3.1. Գործատուները «Եկամտային հարկի, շահութահարկի և սոցիալական վճարի անձնավորված հաշվառման մասին» Հայաստանի Հանրապետության օրենքով սահմանված տեղեկատվական բազայի տեղեկատվության հիման վրա, իրենց հետ աշխատանքային հարաբերությունների մեջ գտնվող անձանց աշխատանքային գրքույկները ներկայացնում են  հետևյալ ժամկետներում.</w:t>
      </w:r>
    </w:p>
    <w:p>
      <w:pPr>
        <w:numPr>
          <w:ilvl w:val="0"/>
          <w:numId w:val="4"/>
        </w:numPr>
      </w:pPr>
      <w:r>
        <w:rPr/>
        <w:t xml:space="preserve">1000 և ավելի աշխատող ունեցող գործատուները` Հայաստանի Հանրապետության կառավարության սահմանած կարգով ծանուցվելուց հետո երեք ամսվա ընթացքում,</w:t>
      </w:r>
    </w:p>
    <w:p>
      <w:pPr>
        <w:numPr>
          <w:ilvl w:val="0"/>
          <w:numId w:val="4"/>
        </w:numPr>
      </w:pPr>
      <w:r>
        <w:rPr/>
        <w:t xml:space="preserve">300-ից 1000 աշխատող ունեցող գործատուները՝ Հայաստանի Հանրապետության կառավարության սահմանած կարգով ծանուցվելուց հետո վեցամսվա ընթացքում,</w:t>
      </w:r>
    </w:p>
    <w:p>
      <w:pPr>
        <w:numPr>
          <w:ilvl w:val="0"/>
          <w:numId w:val="4"/>
        </w:numPr>
      </w:pPr>
      <w:r>
        <w:rPr/>
        <w:t xml:space="preserve">‹‹5. Ծառայությունը, աշխատանքային գրքույկները ներկայացնելու մասին սույն կարգի 3.1-րդ կետում նշված գործատուներին ծանուցում է սույն որոշումն ուժի մեջ մտնելուց հետո երեսուն օրացուցային օրվա ընթացքում՝ այդ մասին էլեկտրոնային հաղորդագրություն ուղարկելով գործատուի ներկայացուցչի էլեկտրոնային փոստի հասցեին, իսկ անհրաժեշտության դեպքում՝ նաև հետադարձ կապի բջջային հեռախոսահամարին։››:</w:t>
      </w:r>
      <w:r>
        <w:rPr/>
        <w:t xml:space="preserve">‹‹6.2. Սույն կարգի 6.1-րդ կետում նշված դեպքերում՝ դիմումատուն ներկայացնում է անձը հաստատող փաստաթղթի պատճենը։››.</w:t>
      </w:r>
      <w:r>
        <w:rPr/>
        <w:t xml:space="preserve">‹‹7. Ստորաբաժանմանը աշխատանքային գրքույկները հանձնվում են ստորագրված հանձնման-ընդունման ակտով (այսուհետ՝ ակտ, ձևը կցվում է)՝ երկու օրինակից:››.</w:t>
      </w:r>
      <w:r>
        <w:rPr/>
        <w:t xml:space="preserve">‹‹5. ֆիզիկական անձի կողմից աշխատանքային գրքույկը ներկայացնելու դեպքում` ֆիզիկական անձի անունը, ազգանունը, հայրանունը, ծննդյան օրը, ամիսը, տարեթիվը, անձը հաստատող փաստաթղթի սերիան ու համարը, աշխատանքային գրքույկի սերիան և համարը:››.</w:t>
      </w:r>
      <w:r>
        <w:rPr/>
        <w:t xml:space="preserve">«Եկամտային հարկի, շահութահարկի և սոցիալական վճարի անձնավորված հաշվառման մասին» Հայաստանի Հանրապետության օրենքով սահմանված տեղեկատվական բազայի տեղեկատվության հիման վրա իրենց հետ աշխատանքային հարաբերությունների մեջ գտնվող անձանց չթվայնացված աշխատանքային գրքույկները ներկայացնում է սույն կարգի 3.1-րդ կետում նշված գործատուն։››.</w:t>
      </w:r>
    </w:p>
    <w:p>
      <w:pPr>
        <w:numPr>
          <w:ilvl w:val="1"/>
          <w:numId w:val="4"/>
        </w:numPr>
      </w:pPr>
      <w:r>
        <w:rPr/>
        <w:t xml:space="preserve">100-ից 300 աշխատող ունեցող գործատուները՝ Հայաստանի Հանրապետության կառավարության սահմանած կարգով ծանուցվելուց հետո ինը ամսվա ընթացքում,</w:t>
      </w:r>
    </w:p>
    <w:p>
      <w:pPr>
        <w:numPr>
          <w:ilvl w:val="1"/>
          <w:numId w:val="4"/>
        </w:numPr>
      </w:pPr>
      <w:r>
        <w:rPr/>
        <w:t xml:space="preserve">50-ից 100 աշխատող ունեցող գործատուները՝ Հայաստանի Հանրապետության կառավարության սահմանած կարգով ծանուցվելուց հետո տասներկու ամսվա ընթացքում,</w:t>
      </w:r>
    </w:p>
    <w:p>
      <w:pPr>
        <w:numPr>
          <w:ilvl w:val="1"/>
          <w:numId w:val="4"/>
        </w:numPr>
      </w:pPr>
      <w:r>
        <w:rPr/>
        <w:t xml:space="preserve">մինչև 50 աշխատող ունեցող գործատուները՝ Հայաստանի Հանրապետության կառավարության սահմանած կարգով ծանուցվելուց հետո տասնհինգ ամսվա ընթացքում։»։</w:t>
      </w:r>
    </w:p>
    <w:p>
      <w:pPr>
        <w:numPr>
          <w:ilvl w:val="1"/>
          <w:numId w:val="4"/>
        </w:numPr>
      </w:pPr>
      <w:r>
        <w:rPr/>
        <w:t xml:space="preserve">որոշման 5-րդ կետը շարադրել հետևյալ խմբագրությամբ`</w:t>
      </w:r>
    </w:p>
    <w:p>
      <w:pPr>
        <w:numPr>
          <w:ilvl w:val="1"/>
          <w:numId w:val="4"/>
        </w:numPr>
      </w:pPr>
      <w:r>
        <w:rPr/>
        <w:t xml:space="preserve">Որոշման 6.1-րդ կետում ‹‹էլեկտրոնային հասցեով›› բառերից հետո լրացնել ‹‹կամ փոստային ծառայության միջոցով›› բառերով.</w:t>
      </w:r>
    </w:p>
    <w:p>
      <w:pPr>
        <w:numPr>
          <w:ilvl w:val="1"/>
          <w:numId w:val="4"/>
        </w:numPr>
      </w:pPr>
      <w:r>
        <w:rPr/>
        <w:t xml:space="preserve">Որոշման 6.1-րդ կետից հետո լրացնել հետևյալ բովանդակությամբ 6.2-րդ կետով՝</w:t>
      </w:r>
    </w:p>
    <w:p>
      <w:pPr>
        <w:numPr>
          <w:ilvl w:val="1"/>
          <w:numId w:val="4"/>
        </w:numPr>
      </w:pPr>
      <w:r>
        <w:rPr/>
        <w:t xml:space="preserve">Որոշման 7-րդ կետում ‹‹Ժամանակացույցով հաստատված (փոխհամաձայնեցված) ժամկետներում գործատուն իր կողմից վարվող աշխատանքային գրքույկները (տարածքային բաժին ներկայացնելու օրվա դրությամբ իր հետ աշխատանքային հարաբերությունների մեջ գտնվող վարձու աշխատողների, այդ թվում՝ 2017 թվականի հունվարի 1-ից հետո աշխատանքի անցած, աշխատանքային գրքույկները) ներկայացնում է ծառայության տարածքային բաժին՝ կից ներկայացնելով ստորագրված՝ տարածքային բաժին ներկայացված աշխատանքային գրքույկների հանձնման-ընդունման ակտ (այսուհետ՝ ակտ, ձևը կցվում է)՝ երկու օրինակից›› պարբերությունը խմբագրել հետևյալ բովանդակությամբ՝</w:t>
      </w:r>
    </w:p>
    <w:p>
      <w:pPr>
        <w:numPr>
          <w:ilvl w:val="1"/>
          <w:numId w:val="4"/>
        </w:numPr>
      </w:pPr>
      <w:r>
        <w:rPr/>
        <w:t xml:space="preserve">Որոշման 7-րդ կետը լրացնել հետևյալ բովանդակությամբ 5-րդ ենթակետով՝</w:t>
      </w:r>
    </w:p>
    <w:p>
      <w:pPr>
        <w:numPr>
          <w:ilvl w:val="1"/>
          <w:numId w:val="4"/>
        </w:numPr>
      </w:pPr>
      <w:r>
        <w:rPr/>
        <w:t xml:space="preserve">Որոշման 7.1-րդ կետը շարադրել հետևյալ խմբագրությամբ՝</w:t>
      </w:r>
    </w:p>
    <w:p>
      <w:pPr>
        <w:numPr>
          <w:ilvl w:val="1"/>
          <w:numId w:val="4"/>
        </w:numPr>
      </w:pPr>
      <w:r>
        <w:rPr/>
        <w:t xml:space="preserve">Որոշման 12-րդ կետում ‹‹համապատասխան մատյանում (այսուհետ՝ մատյան)›› բառերը փոխարինել ‹‹շտեմարանում›› բառով.</w:t>
      </w:r>
    </w:p>
    <w:p>
      <w:pPr>
        <w:numPr>
          <w:ilvl w:val="1"/>
          <w:numId w:val="4"/>
        </w:numPr>
      </w:pPr>
      <w:r>
        <w:rPr/>
        <w:t xml:space="preserve">‹‹15. Ակտը հաշվառելուց հետո Ստորաբաժանումը լրացնում է ստացական՝ երկու օրինակից: Ստացականի մեկ օրինակը կնքվում և կցվում է ակտի մեկ օրինակին, որը տրվում է գործատուի ներկայացուցչին, ֆիզիկական անձի կողմից ներկայացնելու դեպքում՝ ֆիզիկական անձին։ Ստացականի մյուս օրինակը կցվում է ակտի մյուս օրինակին ու մնում է Ստորաբաժանումում:››.</w:t>
      </w:r>
      <w:r>
        <w:rPr/>
        <w:t xml:space="preserve">    ‹‹16. Ստացականում ներառվում են՝   </w:t>
      </w:r>
      <w:r>
        <w:rPr/>
        <w:t xml:space="preserve">1) գործատուի անվանումը և ՀՎՀՀ-ն.</w:t>
      </w:r>
      <w:r>
        <w:rPr/>
        <w:t xml:space="preserve">2) գործատուի ներկայացուցչի, իսկ ֆիզիկական անձի կողմից ներկայացնելու դեպքում՝ ֆիզիակական անձի անունը, ազգանունը, անձը հաստատող փաստաթղթի սերիան ու համարը, հեռախոսահամարը, էլեկտրոնային փոստի հասցեն.</w:t>
      </w:r>
      <w:r>
        <w:rPr/>
        <w:t xml:space="preserve">3) աշխատանքային գրքույկների փաստացի թիվը.</w:t>
      </w:r>
      <w:r>
        <w:rPr/>
        <w:t xml:space="preserve">4) աշխատանքային գրքույկները Ստորաբաժանում ներկայացնելու օրը, ամիսը, տարեթիվը,</w:t>
      </w:r>
      <w:r>
        <w:rPr/>
        <w:t xml:space="preserve">5) Ստորաբաժանման անվանումը, աշխատանքային գրքույկներն ընդունող մասնագետի անունը, ազգանունը, պաշտոնը.</w:t>
      </w:r>
      <w:r>
        <w:rPr/>
        <w:t xml:space="preserve">6) աշխատանքային գրքույկները գործատուին, իսկ ֆիզիկական անձի կողմից ներկայացնելու դեպքում՝ ֆիզիկական անձին վերադարձնելու օրը (այն օրը, երբվանից սկսած գործատուի ներկայացուցիչը կամ ֆիզիակական անձը կարող են այցելել Ստորաբաժանում և հետ վերցնել աշխատանքային գրքույկները):››.</w:t>
      </w:r>
      <w:r>
        <w:rPr/>
        <w:t xml:space="preserve">          15) Որոշման 17-րդ կետը շարադրել հետևյալ խմբագրությամբ՝</w:t>
      </w:r>
      <w:r>
        <w:rPr/>
        <w:t xml:space="preserve">‹‹17. Աշխատանքային գրքույկները վերադարձվում են դրանք Ստորաբաժանում ներկայացնելուց հետո վեցամսյա ժամկետում:››.</w:t>
      </w:r>
      <w:r>
        <w:rPr/>
        <w:t xml:space="preserve">‹‹2) ակնհայտ անհամապատասխանությունների առկայության դեպքում տեղեկացնում է գործատուին կամ ֆիզիակական անձին՝ վերադարձնելով այն աշխատանքային գրքույկները, որոնց կապակցությամբ առկա են ակնհայտ անհամապատասխանություններ:››.</w:t>
      </w:r>
      <w:r>
        <w:rPr/>
        <w:t xml:space="preserve">‹‹19.1. Թվայնացման աշխատանքների ավարտից հետո Ստորաբաժանման ղեկավարը թվայնացված աշխատանքային գրքույկում նշագրում է «Թվայնացված է, ---- ------------- 201—թ.», ստորագրում, կնքում և աշխատանքային գրքույկը վերադարձնում է ներկայացրած անձին:››.</w:t>
      </w:r>
      <w:r>
        <w:rPr/>
        <w:t xml:space="preserve">          ‹‹21. Ակնհայտ անհամապատասխանությունների մասին տեղեկանալու օրվանից հետո՝ 5 աշխատանքային օրվա ընթացքում գործատուն կամ ֆիզիկական անձը  շտկված </w:t>
      </w:r>
      <w:r>
        <w:rPr/>
        <w:t xml:space="preserve">աշխատանքային գրքույկները սույն կարգով սահմանված կարգով կրկին ներկայացնում է Ստորաբաժանմանը:››.</w:t>
      </w:r>
      <w:r>
        <w:rPr/>
        <w:t xml:space="preserve">         ‹‹22. Ստացականում նշված՝ աշխատանքային գրքույկները վերադարձնելու ժամկետը լրանալուց հետո առաջին իսկ պահանջով աշխատանքային գրքույկները վերադարձվում են աշխատանքային գրքույկները ներկայացրած անձին։››.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>
        <w:numPr>
          <w:ilvl w:val="2"/>
          <w:numId w:val="4"/>
        </w:numPr>
      </w:pPr>
      <w:r>
        <w:rPr/>
        <w:t xml:space="preserve">Որոշման 13-րդ կետը ճանաչել ուժը կորցրած.</w:t>
      </w:r>
    </w:p>
    <w:p>
      <w:pPr>
        <w:numPr>
          <w:ilvl w:val="2"/>
          <w:numId w:val="4"/>
        </w:numPr>
      </w:pPr>
      <w:r>
        <w:rPr/>
        <w:t xml:space="preserve">Որոշման 14-րդ կետում ‹‹մատյանում›› բառը փոխարինել  ‹‹Շտեմարանում›› բառերով.</w:t>
      </w:r>
    </w:p>
    <w:p>
      <w:pPr>
        <w:numPr>
          <w:ilvl w:val="2"/>
          <w:numId w:val="4"/>
        </w:numPr>
      </w:pPr>
      <w:r>
        <w:rPr/>
        <w:t xml:space="preserve">Որոշման 15-րդ կետը շարադրել հետևյալ խմբագրությամբ՝</w:t>
      </w:r>
    </w:p>
    <w:p>
      <w:pPr>
        <w:numPr>
          <w:ilvl w:val="2"/>
          <w:numId w:val="4"/>
        </w:numPr>
      </w:pPr>
      <w:r>
        <w:rPr/>
        <w:t xml:space="preserve">Որոշման 16-րդ կետը շարադրել հետևյալ խմբագրությամբ՝</w:t>
      </w:r>
    </w:p>
    <w:p>
      <w:pPr>
        <w:numPr>
          <w:ilvl w:val="2"/>
          <w:numId w:val="4"/>
        </w:numPr>
      </w:pPr>
      <w:r>
        <w:rPr/>
        <w:t xml:space="preserve">Որոշման 18-րդ կետի 1-ին պարբերությունից հանել ‹‹գործատուին›› բառը, իսկ 18-րդ կետի 2-րդ ենթակետը շարադրել հետևյալ խմբագրությամբ՝</w:t>
      </w:r>
    </w:p>
    <w:p>
      <w:pPr>
        <w:numPr>
          <w:ilvl w:val="2"/>
          <w:numId w:val="4"/>
        </w:numPr>
      </w:pPr>
      <w:r>
        <w:rPr/>
        <w:t xml:space="preserve">Որոշման 19-րդ կետի 1-ին ենթակետում հանել ‹‹վարձու աշխատողի բառը››, իսկ 2-րդ ենթակետում ‹‹վարձու աշխատող›› բառը փոխարինել ‹‹անձը›› բառով.</w:t>
      </w:r>
    </w:p>
    <w:p>
      <w:pPr>
        <w:numPr>
          <w:ilvl w:val="2"/>
          <w:numId w:val="4"/>
        </w:numPr>
      </w:pPr>
      <w:r>
        <w:rPr/>
        <w:t xml:space="preserve">Որոշման 19.1-րդ կետը շարադրել հետևյալ խմբագրությամբ՝</w:t>
      </w:r>
    </w:p>
    <w:p>
      <w:pPr>
        <w:numPr>
          <w:ilvl w:val="2"/>
          <w:numId w:val="4"/>
        </w:numPr>
      </w:pPr>
      <w:r>
        <w:rPr/>
        <w:t xml:space="preserve">Որոշման 20-րդ կետը ճանաչել ուժը կորցրած.</w:t>
      </w:r>
    </w:p>
    <w:p>
      <w:pPr>
        <w:numPr>
          <w:ilvl w:val="2"/>
          <w:numId w:val="4"/>
        </w:numPr>
      </w:pPr>
      <w:r>
        <w:rPr/>
        <w:t xml:space="preserve">Որոշման 21-րդ կետը շարադրել հետևյալ խմբագրությամբ՝</w:t>
      </w:r>
    </w:p>
    <w:p>
      <w:pPr>
        <w:numPr>
          <w:ilvl w:val="2"/>
          <w:numId w:val="4"/>
        </w:numPr>
      </w:pPr>
      <w:r>
        <w:rPr/>
        <w:t xml:space="preserve">Որոշման 22-րդ կետը շարադրել հետևյալ խմբագրությամբ՝</w:t>
      </w:r>
    </w:p>
    <w:p>
      <w:pPr>
        <w:numPr>
          <w:ilvl w:val="2"/>
          <w:numId w:val="4"/>
        </w:numPr>
      </w:pPr>
      <w:r>
        <w:rPr/>
        <w:t xml:space="preserve">Որոշման 23-րդ կետում ‹‹լիազորություն ունեցող այլ անձը›› բառերից հետո լրացնել ‹‹կամ ֆիզիկական անձը›› բառերով, իսկ ‹‹դիմել գործատուի՝›› բառերից հետո լրացնել ‹‹սույն կարգի 11-րդ կետում նշված ներկայացուցիչը›› բառերով.</w:t>
      </w:r>
    </w:p>
    <w:p>
      <w:pPr>
        <w:numPr>
          <w:ilvl w:val="2"/>
          <w:numId w:val="4"/>
        </w:numPr>
      </w:pPr>
      <w:r>
        <w:rPr/>
        <w:t xml:space="preserve">Որոշման 24-րդ կետում բոլոր ‹‹լիազորություն ունեցող այլ անձին›› բառերից հետո լրացնել ‹‹կամ ֆիզիկական անձին›› համապատասխան հոլովաձևերով բառերով: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0C5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F84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ADA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2026-04-03T18:51:18+04:00</dcterms:created>
  <dcterms:modified xsi:type="dcterms:W3CDTF">2026-04-03T18:51:18+04:00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