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վերաբերյալ» Հայաստանի Հանրապետության օրենսգրքում փոփոխություն կատարելու մասին»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       </w:t>
      </w:r>
      <w:r>
        <w:rPr>
          <w:b w:val="1"/>
          <w:bCs w:val="1"/>
        </w:rPr>
        <w:t xml:space="preserve">Հոդված 1.</w:t>
      </w:r>
      <w:r>
        <w:rPr/>
        <w:t xml:space="preserve"> Վարչական իրավախախտումների վերաբերյալ Հայաստանի Հանրապետության 1985 թվականի դեկտեմբերի 6-ի օրենսգրքի 85․1-րդ հոդվածը շարադրել հետևյալ խմբագրությամբ՝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85.1.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Արտադրության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սպառման</w:t>
      </w:r>
      <w:r>
        <w:rPr/>
        <w:t xml:space="preserve"> </w:t>
      </w:r>
      <w:r>
        <w:rPr>
          <w:b w:val="1"/>
          <w:bCs w:val="1"/>
        </w:rPr>
        <w:t xml:space="preserve">թափոնները</w:t>
      </w:r>
      <w:r>
        <w:rPr/>
        <w:t xml:space="preserve"> </w:t>
      </w:r>
      <w:r>
        <w:rPr>
          <w:b w:val="1"/>
          <w:bCs w:val="1"/>
        </w:rPr>
        <w:t xml:space="preserve">բնական</w:t>
      </w:r>
      <w:r>
        <w:rPr/>
        <w:t xml:space="preserve"> </w:t>
      </w:r>
      <w:r>
        <w:rPr>
          <w:b w:val="1"/>
          <w:bCs w:val="1"/>
        </w:rPr>
        <w:t xml:space="preserve">միջավայրում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բնակավայրերում</w:t>
      </w:r>
      <w:r>
        <w:rPr/>
        <w:t xml:space="preserve"> </w:t>
      </w:r>
      <w:r>
        <w:rPr>
          <w:b w:val="1"/>
          <w:bCs w:val="1"/>
        </w:rPr>
        <w:t xml:space="preserve">այրելը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Արտադրության կամ սպառման կամ տերևաթափից առաջացած թափոնները բնական միջավայրում կամ բնակավայրերում կամ դրանց շրջակայքում կամ դրանց այրման համար չնախատեսված կաթսայատներում կամ վառարաններում կամ այլ սարքերում այրելը`</w:t>
      </w:r>
    </w:p>
    <w:p>
      <w:pPr/>
      <w:r>
        <w:rPr/>
        <w:t xml:space="preserve">առաջացնում է նախազգուշացում կամ տուգանքի նշանակում քաղաքացիների նկատմամբ` սահմանված նվազագույն աշխատավարձի հիսնապատիկի չափով, իսկ պաշտոնատար անձանց նկատմամբ` երկուհարյուրապատիկի չափով:</w:t>
      </w:r>
    </w:p>
    <w:p>
      <w:pPr>
        <w:numPr>
          <w:ilvl w:val="0"/>
          <w:numId w:val="3"/>
        </w:numPr>
      </w:pPr>
      <w:r>
        <w:rPr/>
        <w:t xml:space="preserve">Արտադրության կամ սպառման թափոնները թափոնների գործածության օբյեկտներում կամ հատուկ հատկացված տեղերում կամ չարտոնագրված աղբավայրերում այրելը`</w:t>
      </w:r>
    </w:p>
    <w:p>
      <w:pPr/>
      <w:r>
        <w:rPr/>
        <w:t xml:space="preserve">առաջացնում է տուգանքի նշանակում քաղաքացիների նկատմամբ` սահմանված նվազագույն աշխատավարձի հարյուրապատիկի չափով, իսկ պաշտոնատար անձանց նկատմամբ` չորսհարյուրապատիկի չափով:</w:t>
      </w:r>
    </w:p>
    <w:p>
      <w:pPr/>
      <w:r>
        <w:rPr/>
        <w:t xml:space="preserve">3․ Սույն հոդվածի 2-րդ մասի խախտումները, որոնք կատարվել են կրկին` վարչական</w:t>
      </w:r>
    </w:p>
    <w:p>
      <w:pPr/>
      <w:r>
        <w:rPr/>
        <w:t xml:space="preserve">    տույժի միջոցներ կիրառելուց հետո` մեկ տարվա ընթացքում`</w:t>
      </w:r>
    </w:p>
    <w:p>
      <w:pPr/>
      <w:r>
        <w:rPr/>
        <w:t xml:space="preserve">առաջացնում են տուգանքի նշանակում քաղաքացիների նկատմամբ` սահմանված նվազագույն աշխատավարձի երկուհարյուրապատիկի չափով, իսկ պաշտոնատար անձանց նկատմամբ` սահմանված նվազագույն աշխատավարձի ութհարյուրապատիկի չափով: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5F7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A48F2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2026-04-03T16:09:53+04:00</dcterms:created>
  <dcterms:modified xsi:type="dcterms:W3CDTF">2026-04-03T16:09:53+04:00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