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ՀՀ ԿԱՌԱՎԱՐՈՒԹՅԱՆ 2006 ԹՎԱԿԱՆԻ ՕԳՈՍՏՈՍԻ 10-Ի N 1136-Ն ՈՐՈՇՄԱՆ ՄԵՋ ՓՈՓՈԽՈՒԹՅՈՒՆՆԵՐ ԵՎ ԼՐԱՑՈՒՄՆԵՐ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N -   Ն</w:t>
      </w:r>
    </w:p>
    <w:p>
      <w:pPr>
        <w:jc w:val="center"/>
      </w:pPr>
      <w:r>
        <w:rPr/>
        <w:t xml:space="preserve"> ՀՀ ԿԱՌԱՎԱՐՈՒԹՅԱՆ 2006 ԹՎԱԿԱՆԻ ՕԳՈՍՏՈՍԻ 10-Ի N 1136-Ն ՈՐՈՇՄԱՆ ՄԵՋ ՓՈՓՈԽՈՒԹՅՈՒՆՆԵՐ ԵՎ ԼՐԱՑՈՒՄՆԵՐ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Հիմք ընդունելով «Նորմատիվ իրավական ակտերի մասին» Հայաստանի Հանրապետության օրենքի 34-րդ հոդվածի 1-ին մասը՝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2006 թվականի օգոստոսի 10-ի «Ցեմենտներին ներկայացվող պահանջների տեխնիկական կանոնակարգը հաստատելու մասին» N 1136-Ն որոշման՝</w:t>
      </w:r>
    </w:p>
    <w:p>
      <w:pPr>
        <w:numPr>
          <w:ilvl w:val="0"/>
          <w:numId w:val="3"/>
        </w:numPr>
      </w:pPr>
      <w:r>
        <w:rPr/>
        <w:t xml:space="preserve">վերնագրում «Ցեմենտներին» բառից հետո լրացնել «, պորտլանդցեմենտային կլինկերին» բառերը.</w:t>
      </w:r>
    </w:p>
    <w:p>
      <w:pPr>
        <w:numPr>
          <w:ilvl w:val="0"/>
          <w:numId w:val="3"/>
        </w:numPr>
      </w:pPr>
      <w:r>
        <w:rPr/>
        <w:t xml:space="preserve">նախաբանում նշված «Ստանդարտացման մասին» բառերը փոխարինել «Տեխնիկական կանոնակարգման մասին» բառերով, իսկ «հոդվածի» բառից հետո լրացնել «1-ին կետի 3-րդ ենթակետի ա. պարբերության» բառերը: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կառավարության 2006 թվականի օգոստոսի 10-ի N 1136-Ն որոշման 1-ին կետով հաստատված հավելվածում (այսուհետ՝ Հավելված) կատարել հետևյալ փոփոխությունները և լրացումները</w:t>
      </w:r>
    </w:p>
    <w:p>
      <w:pPr>
        <w:numPr>
          <w:ilvl w:val="0"/>
          <w:numId w:val="5"/>
        </w:numPr>
      </w:pPr>
      <w:r>
        <w:rPr/>
        <w:t xml:space="preserve">1-ին կետում «Պորտլանդցեմենտ 2523» բառերից հետո լրացնել «պորտլանդցեմենտային կլինկեր 2523 10 000 0 » բառերով:</w:t>
      </w:r>
    </w:p>
    <w:p>
      <w:pPr/>
      <w:r>
        <w:rPr/>
        <w:t xml:space="preserve">«II. ՀԱՍԿԱՑՈՒԹՅՈՒՆՆԵՐԸ » 2-րդ գլխի 4-րդ կետի «պորտլանդցեմենտային կլինկեր (K)`» հասկացության սահմանման մեջ «կլինկեր» բառից հետո ավելացնել «(այսուհետ՝ կլինկեր»բառերը.</w:t>
      </w:r>
    </w:p>
    <w:p>
      <w:pPr>
        <w:numPr>
          <w:ilvl w:val="0"/>
          <w:numId w:val="6"/>
        </w:numPr>
      </w:pPr>
      <w:r>
        <w:rPr/>
        <w:t xml:space="preserve">2, 5, 29, 30, 31, 35, 38, 39-րդ կետերի, 21-րդ կետի 1-ին պարբերության, բ), է) ենթակետերի «ցեմենտների» բառից հետո լրացնել «, կլինկերի» բառը.</w:t>
      </w:r>
    </w:p>
    <w:p>
      <w:pPr>
        <w:numPr>
          <w:ilvl w:val="0"/>
          <w:numId w:val="6"/>
        </w:numPr>
      </w:pPr>
      <w:r>
        <w:rPr/>
        <w:t xml:space="preserve">18, 19,20,22, 23-րդ կետերում «ցեմենտը» բառը փոխարինել «ցեմենտները, կլինկերը»  բառերով.</w:t>
      </w:r>
    </w:p>
    <w:p>
      <w:pPr>
        <w:numPr>
          <w:ilvl w:val="0"/>
          <w:numId w:val="6"/>
        </w:numPr>
      </w:pPr>
      <w:r>
        <w:rPr/>
        <w:t xml:space="preserve">6-րդ կետի «պետք է ուղեկցվեն» բառերից հետո լրացնել «հայերեն մակնշմամբ»  բառերը և հանել «կամ գրանցված համապատասխանության հայտարարագրով» բառերը:</w:t>
      </w:r>
    </w:p>
    <w:p>
      <w:pPr>
        <w:numPr>
          <w:ilvl w:val="0"/>
          <w:numId w:val="6"/>
        </w:numPr>
      </w:pPr>
      <w:r>
        <w:rPr/>
        <w:t xml:space="preserve">6, 7 –րդ կետերի «ցեմենտները» բառերից հետո լրացնել «, կլինկերը»  բառերով:</w:t>
      </w:r>
    </w:p>
    <w:p>
      <w:pPr>
        <w:numPr>
          <w:ilvl w:val="0"/>
          <w:numId w:val="6"/>
        </w:numPr>
      </w:pPr>
      <w:r>
        <w:rPr/>
        <w:t xml:space="preserve">12-րդ կետով սահմանված 2-րդ աղյուսակում ավելացնել «Ցեմենտների ծռման ամրությունը» սյունյակը, (ըստ ցեմենտների ամրության դասերի), խմբագրել «Կապակցման սկիզբը, րոպե, ոչ շուտ» սյունյակը և խմբագրել հետևյալ բովանդակությամբ.</w:t>
      </w:r>
    </w:p>
    <w:p>
      <w:pPr/>
      <w:r>
        <w:rPr/>
        <w:t xml:space="preserve"> </w:t>
      </w:r>
    </w:p>
    <w:p>
      <w:pPr/>
      <w:r>
        <w:rPr/>
        <w:t xml:space="preserve">«Աղյուսակ N 2</w:t>
      </w:r>
    </w:p>
    <w:tbl>
      <w:tblGrid>
        <w:gridCol w:w="1275" w:type="dxa"/>
        <w:gridCol w:w="1680" w:type="dxa"/>
        <w:gridCol w:w="975" w:type="dxa"/>
        <w:gridCol w:w="1590" w:type="dxa"/>
        <w:gridCol w:w="900" w:type="dxa"/>
        <w:gridCol w:w="780" w:type="dxa"/>
        <w:gridCol w:w="930" w:type="dxa"/>
        <w:gridCol w:w="825" w:type="dxa"/>
        <w:gridCol w:w="195" w:type="dxa"/>
        <w:gridCol w:w="1605" w:type="dxa"/>
      </w:tblGrid>
      <w:tblPr>
        <w:tblW w:w="4750" w:type="pct"/>
        <w:tblLayout w:type="autofit"/>
      </w:tblPr>
      <w:tr>
        <w:trPr/>
        <w:tc>
          <w:tcPr>
            <w:tcW w:w="500" w:type="pct"/>
            <w:noWrap/>
          </w:tcPr>
          <w:p>
            <w:pPr/>
            <w:r>
              <w:rPr>
                <w:b w:val="1"/>
                <w:bCs w:val="1"/>
              </w:rPr>
              <w:t xml:space="preserve">Ամրության դասը</w:t>
            </w:r>
          </w:p>
        </w:tc>
        <w:tc>
          <w:tcPr>
            <w:tcW w:w="550" w:type="pct"/>
            <w:noWrap/>
          </w:tcPr>
          <w:p>
            <w:pPr/>
            <w:r>
              <w:rPr>
                <w:b w:val="1"/>
                <w:bCs w:val="1"/>
              </w:rPr>
              <w:t xml:space="preserve">Ծռման ամրությունը, ՄՊա, /ոչ պակաս/</w:t>
            </w:r>
          </w:p>
        </w:tc>
        <w:tc>
          <w:tcPr>
            <w:tcW w:w="2100" w:type="pct"/>
            <w:gridSpan w:val="4"/>
            <w:noWrap/>
          </w:tcPr>
          <w:p>
            <w:pPr/>
            <w:r>
              <w:rPr>
                <w:b w:val="1"/>
                <w:bCs w:val="1"/>
              </w:rPr>
              <w:t xml:space="preserve">Սեղմման ամրությունը, ՄՊա</w:t>
            </w:r>
          </w:p>
        </w:tc>
        <w:tc>
          <w:tcPr>
            <w:tcW w:w="950" w:type="pct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     Կապակցում</w:t>
            </w:r>
            <w:br/>
            <w:r>
              <w:rPr>
                <w:b w:val="1"/>
                <w:bCs w:val="1"/>
              </w:rPr>
              <w:t xml:space="preserve"> </w:t>
            </w:r>
            <w:br/>
            <w:r>
              <w:rPr>
                <w:b w:val="1"/>
                <w:bCs w:val="1"/>
              </w:rPr>
              <w:t xml:space="preserve"> </w:t>
            </w:r>
          </w:p>
        </w:tc>
        <w:tc>
          <w:tcPr>
            <w:tcW w:w="650" w:type="pct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Ծավալի փոփոխման</w:t>
            </w:r>
            <w:br/>
            <w:r>
              <w:rPr>
                <w:b w:val="1"/>
                <w:bCs w:val="1"/>
              </w:rPr>
              <w:t xml:space="preserve"> հավասարաչա փությունը</w:t>
            </w:r>
            <w:br/>
            <w:r>
              <w:rPr>
                <w:b w:val="1"/>
                <w:bCs w:val="1"/>
              </w:rPr>
              <w:t xml:space="preserve"> (ընդարձակում), մմ,</w:t>
            </w:r>
            <w:br/>
            <w:r>
              <w:rPr>
                <w:b w:val="1"/>
                <w:bCs w:val="1"/>
              </w:rPr>
              <w:t xml:space="preserve"> ոչ ավելի</w:t>
            </w:r>
          </w:p>
        </w:tc>
      </w:tr>
      <w:tr>
        <w:trPr/>
        <w:tc>
          <w:tcPr>
            <w:tcW w:w="1000" w:type="pct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վաղ ամրություն</w:t>
            </w:r>
          </w:p>
        </w:tc>
        <w:tc>
          <w:tcPr>
            <w:tcW w:w="1050" w:type="pct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ստանդարտ ամրություն</w:t>
            </w:r>
          </w:p>
        </w:tc>
      </w:tr>
      <w:tr>
        <w:trPr/>
        <w:tc>
          <w:tcPr>
            <w:tcW w:w="550" w:type="pct"/>
            <w:noWrap/>
          </w:tcPr>
          <w:p>
            <w:pPr/>
            <w:r>
              <w:rPr>
                <w:b w:val="1"/>
                <w:bCs w:val="1"/>
              </w:rPr>
              <w:t xml:space="preserve">2 օրական հասա-</w:t>
            </w:r>
            <w:br/>
            <w:r>
              <w:rPr>
                <w:b w:val="1"/>
                <w:bCs w:val="1"/>
              </w:rPr>
              <w:t xml:space="preserve"> կում, ոչ պակաս</w:t>
            </w:r>
          </w:p>
        </w:tc>
        <w:tc>
          <w:tcPr>
            <w:tcW w:w="450" w:type="pct"/>
            <w:noWrap/>
          </w:tcPr>
          <w:p>
            <w:pPr/>
            <w:r>
              <w:rPr>
                <w:b w:val="1"/>
                <w:bCs w:val="1"/>
              </w:rPr>
              <w:t xml:space="preserve">7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օրական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հասա</w:t>
            </w:r>
            <w:r>
              <w:rPr>
                <w:b w:val="1"/>
                <w:bCs w:val="1"/>
              </w:rPr>
              <w:t xml:space="preserve">-</w:t>
            </w:r>
            <w:br/>
            <w:r>
              <w:rPr>
                <w:b w:val="1"/>
                <w:bCs w:val="1"/>
              </w:rPr>
              <w:t xml:space="preserve"> կում, ոչ պակաս</w:t>
            </w:r>
          </w:p>
        </w:tc>
        <w:tc>
          <w:tcPr>
            <w:tcW w:w="1050" w:type="pct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28 օրական հասակում</w:t>
            </w:r>
          </w:p>
        </w:tc>
        <w:tc>
          <w:tcPr>
            <w:tcW w:w="450" w:type="pct"/>
            <w:noWrap/>
          </w:tcPr>
          <w:p>
            <w:pPr/>
            <w:r>
              <w:rPr>
                <w:b w:val="1"/>
                <w:bCs w:val="1"/>
              </w:rPr>
              <w:t xml:space="preserve">սկիզբը,</w:t>
            </w:r>
            <w:br/>
            <w:r>
              <w:rPr>
                <w:b w:val="1"/>
                <w:bCs w:val="1"/>
              </w:rPr>
              <w:t xml:space="preserve"> րոպե,</w:t>
            </w:r>
            <w:br/>
            <w:r>
              <w:rPr>
                <w:b w:val="1"/>
                <w:bCs w:val="1"/>
              </w:rPr>
              <w:t xml:space="preserve"> ոչ շուտ</w:t>
            </w:r>
          </w:p>
        </w:tc>
        <w:tc>
          <w:tcPr>
            <w:tcW w:w="500" w:type="pct"/>
            <w:noWrap/>
          </w:tcPr>
          <w:p>
            <w:pPr/>
            <w:r>
              <w:rPr>
                <w:b w:val="1"/>
                <w:bCs w:val="1"/>
              </w:rPr>
              <w:t xml:space="preserve">վերջը,</w:t>
            </w:r>
          </w:p>
          <w:p>
            <w:pPr/>
            <w:r>
              <w:rPr>
                <w:b w:val="1"/>
                <w:bCs w:val="1"/>
              </w:rPr>
              <w:t xml:space="preserve">ժամ,ոչ ուշ</w:t>
            </w:r>
          </w:p>
        </w:tc>
      </w:tr>
      <w:tr>
        <w:trPr/>
        <w:tc>
          <w:tcPr>
            <w:tcW w:w="500" w:type="pct"/>
            <w:noWrap/>
          </w:tcPr>
          <w:p>
            <w:pPr/>
            <w:r>
              <w:rPr>
                <w:b w:val="1"/>
                <w:bCs w:val="1"/>
              </w:rPr>
              <w:t xml:space="preserve">ոչ պակաս</w:t>
            </w:r>
          </w:p>
        </w:tc>
        <w:tc>
          <w:tcPr>
            <w:tcW w:w="500" w:type="pct"/>
            <w:noWrap/>
          </w:tcPr>
          <w:p>
            <w:pPr/>
            <w:r>
              <w:rPr>
                <w:b w:val="1"/>
                <w:bCs w:val="1"/>
              </w:rPr>
              <w:t xml:space="preserve">ոչ ավելի</w:t>
            </w:r>
          </w:p>
        </w:tc>
      </w:tr>
      <w:tr>
        <w:trPr/>
        <w:tc>
          <w:tcPr>
            <w:tcW w:w="500" w:type="pct"/>
            <w:noWrap/>
          </w:tcPr>
          <w:p>
            <w:pPr/>
            <w:r>
              <w:rPr/>
              <w:t xml:space="preserve">1.             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2.             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3.            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4.   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5.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6.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7.</w:t>
            </w:r>
          </w:p>
        </w:tc>
        <w:tc>
          <w:tcPr>
            <w:tcW w:w="550" w:type="pct"/>
            <w:gridSpan w:val="2"/>
            <w:noWrap/>
          </w:tcPr>
          <w:p>
            <w:pPr/>
            <w:r>
              <w:rPr/>
              <w:t xml:space="preserve">8.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9.</w:t>
            </w:r>
          </w:p>
        </w:tc>
      </w:tr>
      <w:tr>
        <w:trPr/>
        <w:tc>
          <w:tcPr>
            <w:tcW w:w="500" w:type="pct"/>
            <w:noWrap/>
          </w:tcPr>
          <w:p>
            <w:pPr/>
            <w:r>
              <w:rPr/>
              <w:t xml:space="preserve">22.5N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11.0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22.5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42.5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550" w:type="pct"/>
            <w:gridSpan w:val="2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tcW w:w="500" w:type="pct"/>
            <w:noWrap/>
          </w:tcPr>
          <w:p>
            <w:pPr/>
            <w:r>
              <w:rPr/>
              <w:t xml:space="preserve">32.5N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5.5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16.0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32.5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52.5</w:t>
            </w:r>
          </w:p>
        </w:tc>
      </w:tr>
      <w:tr>
        <w:trPr/>
        <w:tc>
          <w:tcPr>
            <w:tcW w:w="500" w:type="pct"/>
            <w:noWrap/>
          </w:tcPr>
          <w:p>
            <w:pPr/>
            <w:r>
              <w:rPr/>
              <w:t xml:space="preserve">32.5R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5.5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10.0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500" w:type="pct"/>
            <w:noWrap/>
          </w:tcPr>
          <w:p>
            <w:pPr/>
            <w:r>
              <w:rPr/>
              <w:t xml:space="preserve">42.5N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6.0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10.0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42.5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62.5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60</w:t>
            </w:r>
          </w:p>
        </w:tc>
        <w:tc>
          <w:tcPr>
            <w:tcW w:w="550" w:type="pct"/>
            <w:gridSpan w:val="2"/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tcW w:w="500" w:type="pct"/>
            <w:noWrap/>
          </w:tcPr>
          <w:p>
            <w:pPr/>
            <w:r>
              <w:rPr/>
              <w:t xml:space="preserve">42.5R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6.0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20.0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500" w:type="pct"/>
            <w:noWrap/>
          </w:tcPr>
          <w:p>
            <w:pPr/>
            <w:r>
              <w:rPr/>
              <w:t xml:space="preserve">52.5N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6.5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20.0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52.5</w:t>
            </w:r>
          </w:p>
        </w:tc>
        <w:tc>
          <w:tcPr>
            <w:tcW w:w="500" w:type="pct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550" w:type="pct"/>
            <w:gridSpan w:val="2"/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tcW w:w="500" w:type="pct"/>
            <w:noWrap/>
          </w:tcPr>
          <w:p>
            <w:pPr/>
            <w:r>
              <w:rPr/>
              <w:t xml:space="preserve">52.5R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6.5</w:t>
            </w:r>
          </w:p>
        </w:tc>
        <w:tc>
          <w:tcPr>
            <w:tcW w:w="550" w:type="pct"/>
            <w:noWrap/>
          </w:tcPr>
          <w:p>
            <w:pPr/>
            <w:r>
              <w:rPr/>
              <w:t xml:space="preserve">30.0</w:t>
            </w:r>
          </w:p>
        </w:tc>
        <w:tc>
          <w:tcPr>
            <w:tcW w:w="450" w:type="pct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1700" w:type="pct"/>
            <w:gridSpan w:val="3"/>
            <w:noWrap/>
          </w:tcPr>
          <w:p>
            <w:pPr/>
            <w:r>
              <w:rPr/>
              <w:t xml:space="preserve">Ցեմենտի աղացվածքի մանրությունը N 008 մաղի վրայի մնացորդը</w:t>
            </w:r>
          </w:p>
        </w:tc>
        <w:tc>
          <w:tcPr>
            <w:tcW w:w="2000" w:type="pct"/>
            <w:gridSpan w:val="4"/>
            <w:noWrap/>
          </w:tcPr>
          <w:p>
            <w:pPr/>
            <w:r>
              <w:rPr/>
              <w:t xml:space="preserve">ոչ ավել քան 15%</w:t>
            </w:r>
          </w:p>
        </w:tc>
        <w:tc>
          <w:tcPr>
            <w:tcW w:w="550" w:type="pct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700" w:type="pct"/>
            <w:gridSpan w:val="3"/>
            <w:noWrap/>
          </w:tcPr>
          <w:p>
            <w:pPr/>
            <w:r>
              <w:rPr/>
              <w:t xml:space="preserve">Ցեմենտներում տեսակարար մակերեսը համաձայն Բլեյնի մեթոդի</w:t>
            </w:r>
          </w:p>
        </w:tc>
        <w:tc>
          <w:tcPr>
            <w:tcW w:w="2000" w:type="pct"/>
            <w:gridSpan w:val="4"/>
            <w:noWrap/>
          </w:tcPr>
          <w:p>
            <w:pPr/>
            <w:r>
              <w:rPr/>
              <w:t xml:space="preserve">ոչ պակաս քան 2800 սմ</w:t>
            </w:r>
            <w:r>
              <w:rPr>
                <w:vertAlign w:val="superscript"/>
              </w:rPr>
              <w:t xml:space="preserve">2</w:t>
            </w:r>
            <w:r>
              <w:rPr/>
              <w:t xml:space="preserve">/գ և ոչ ավելի քան 4000 սմ</w:t>
            </w:r>
            <w:r>
              <w:rPr>
                <w:vertAlign w:val="superscript"/>
              </w:rPr>
              <w:t xml:space="preserve">2</w:t>
            </w:r>
            <w:r>
              <w:rPr/>
              <w:t xml:space="preserve">/գ</w:t>
            </w:r>
          </w:p>
        </w:tc>
        <w:tc>
          <w:tcPr>
            <w:tcW w:w="550" w:type="pct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700" w:type="pct"/>
            <w:gridSpan w:val="3"/>
            <w:noWrap/>
          </w:tcPr>
          <w:p>
            <w:pPr/>
            <w:r>
              <w:rPr/>
              <w:t xml:space="preserve">Ցեմենտի ամրությունը ծռման դեպքում</w:t>
            </w:r>
          </w:p>
        </w:tc>
        <w:tc>
          <w:tcPr>
            <w:tcW w:w="2000" w:type="pct"/>
            <w:gridSpan w:val="4"/>
            <w:noWrap/>
          </w:tcPr>
          <w:p>
            <w:pPr/>
            <w:r>
              <w:rPr/>
              <w:t xml:space="preserve">Ստանդարտ 28 օրական հասակում</w:t>
            </w:r>
          </w:p>
        </w:tc>
        <w:tc>
          <w:tcPr>
            <w:tcW w:w="550" w:type="pct"/>
            <w:gridSpan w:val="2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00" w:type="pct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8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2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60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13-րդ կետում «Ցեմենտների» բառերից հետո լրացնել «և կլինկերի» բառերով, «N 3 աղյուսակով» բառերը փոխարինել «N 3 և N 4 աղյուսակներով» բառերով և կետը լրացնել հետևյալ բովանդակությամբ Աղյուսակ N 4- ով.</w:t>
      </w:r>
    </w:p>
    <w:p>
      <w:pPr/>
      <w:r>
        <w:rPr/>
        <w:t xml:space="preserve">Աղյուսակ N 4</w:t>
      </w:r>
    </w:p>
    <w:tbl>
      <w:tblGrid>
        <w:gridCol w:w="6315" w:type="dxa"/>
        <w:gridCol w:w="3720" w:type="dxa"/>
      </w:tblGrid>
      <w:tblPr>
        <w:tblW w:w="0" w:type="auto"/>
        <w:tblLayout w:type="autofit"/>
      </w:tblPr>
      <w:tr>
        <w:trPr/>
        <w:tc>
          <w:tcPr>
            <w:tcW w:w="6315" w:type="dxa"/>
            <w:noWrap/>
          </w:tcPr>
          <w:p>
            <w:pPr/>
            <w:r>
              <w:rPr/>
              <w:t xml:space="preserve">Կլինկերում ցուցանիշի անվանումը</w:t>
            </w:r>
          </w:p>
        </w:tc>
        <w:tc>
          <w:tcPr>
            <w:tcW w:w="3720" w:type="dxa"/>
            <w:noWrap/>
          </w:tcPr>
          <w:p>
            <w:pPr/>
            <w:r>
              <w:rPr/>
              <w:t xml:space="preserve">Ցուցանիշը, %</w:t>
            </w:r>
          </w:p>
        </w:tc>
      </w:tr>
      <w:tr>
        <w:trPr/>
        <w:tc>
          <w:tcPr>
            <w:tcW w:w="6315" w:type="dxa"/>
            <w:noWrap/>
          </w:tcPr>
          <w:p>
            <w:pPr/>
            <w:r>
              <w:rPr/>
              <w:t xml:space="preserve">Զանգվածի կորուստը շիկացման ժամանակ, ոչ ավելի</w:t>
            </w:r>
          </w:p>
        </w:tc>
        <w:tc>
          <w:tcPr>
            <w:tcW w:w="3720" w:type="dxa"/>
            <w:noWrap/>
          </w:tcPr>
          <w:p>
            <w:pPr/>
            <w:r>
              <w:rPr/>
              <w:t xml:space="preserve">5,0</w:t>
            </w:r>
          </w:p>
        </w:tc>
      </w:tr>
      <w:tr>
        <w:trPr/>
        <w:tc>
          <w:tcPr>
            <w:tcW w:w="6315" w:type="dxa"/>
            <w:noWrap/>
          </w:tcPr>
          <w:p>
            <w:pPr/>
            <w:r>
              <w:rPr/>
              <w:t xml:space="preserve">Չլուծվող մնացորդ, ոչ ավելի</w:t>
            </w:r>
          </w:p>
        </w:tc>
        <w:tc>
          <w:tcPr>
            <w:tcW w:w="3720" w:type="dxa"/>
            <w:noWrap/>
          </w:tcPr>
          <w:p>
            <w:pPr/>
            <w:r>
              <w:rPr/>
              <w:t xml:space="preserve">5,0</w:t>
            </w:r>
          </w:p>
        </w:tc>
      </w:tr>
      <w:tr>
        <w:trPr/>
        <w:tc>
          <w:tcPr>
            <w:tcW w:w="6315" w:type="dxa"/>
            <w:noWrap/>
          </w:tcPr>
          <w:p>
            <w:pPr/>
            <w:r>
              <w:rPr/>
              <w:t xml:space="preserve">SiO2 զանգվածային մասը</w:t>
            </w:r>
          </w:p>
        </w:tc>
        <w:tc>
          <w:tcPr>
            <w:tcW w:w="3720" w:type="dxa"/>
            <w:noWrap/>
          </w:tcPr>
          <w:p>
            <w:pPr/>
            <w:r>
              <w:rPr/>
              <w:t xml:space="preserve">Չի նորմ</w:t>
            </w:r>
          </w:p>
        </w:tc>
      </w:tr>
      <w:tr>
        <w:trPr/>
        <w:tc>
          <w:tcPr>
            <w:tcW w:w="6315" w:type="dxa"/>
            <w:noWrap/>
          </w:tcPr>
          <w:p>
            <w:pPr/>
            <w:r>
              <w:rPr/>
              <w:t xml:space="preserve"> CaO</w:t>
            </w:r>
          </w:p>
        </w:tc>
        <w:tc>
          <w:tcPr>
            <w:tcW w:w="3720" w:type="dxa"/>
            <w:noWrap/>
          </w:tcPr>
          <w:p>
            <w:pPr/>
            <w:r>
              <w:rPr/>
              <w:t xml:space="preserve">Չի նորմ</w:t>
            </w:r>
          </w:p>
        </w:tc>
      </w:tr>
      <w:tr>
        <w:trPr/>
        <w:tc>
          <w:tcPr>
            <w:tcW w:w="6315" w:type="dxa"/>
            <w:noWrap/>
          </w:tcPr>
          <w:p>
            <w:pPr/>
            <w:r>
              <w:rPr/>
              <w:t xml:space="preserve">Կլինկերում ազատ CaO</w:t>
            </w:r>
          </w:p>
        </w:tc>
        <w:tc>
          <w:tcPr>
            <w:tcW w:w="3720" w:type="dxa"/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tcW w:w="6315" w:type="dxa"/>
            <w:noWrap/>
          </w:tcPr>
          <w:p>
            <w:pPr/>
            <w:r>
              <w:rPr/>
              <w:t xml:space="preserve">Կլինկերում MgO պարունակությունը ոչ ավելի</w:t>
            </w:r>
          </w:p>
        </w:tc>
        <w:tc>
          <w:tcPr>
            <w:tcW w:w="3720" w:type="dxa"/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tcW w:w="6315" w:type="dxa"/>
            <w:noWrap/>
          </w:tcPr>
          <w:p>
            <w:pPr/>
            <w:r>
              <w:rPr/>
              <w:t xml:space="preserve">Al2O3</w:t>
            </w:r>
          </w:p>
        </w:tc>
        <w:tc>
          <w:tcPr>
            <w:tcW w:w="3720" w:type="dxa"/>
            <w:noWrap/>
          </w:tcPr>
          <w:p>
            <w:pPr/>
            <w:r>
              <w:rPr/>
              <w:t xml:space="preserve">չի նորմավորվում</w:t>
            </w:r>
          </w:p>
        </w:tc>
      </w:tr>
      <w:tr>
        <w:trPr/>
        <w:tc>
          <w:tcPr>
            <w:tcW w:w="6315" w:type="dxa"/>
            <w:noWrap/>
          </w:tcPr>
          <w:p>
            <w:pPr/>
            <w:r>
              <w:rPr/>
              <w:t xml:space="preserve">Fe2O3</w:t>
            </w:r>
          </w:p>
        </w:tc>
        <w:tc>
          <w:tcPr>
            <w:tcW w:w="3720" w:type="dxa"/>
            <w:noWrap/>
          </w:tcPr>
          <w:p>
            <w:pPr/>
            <w:r>
              <w:rPr/>
              <w:t xml:space="preserve">չի նորմավորվում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Հավելվածի բոլոր գլուխները համարակալել արաբական թվանշաններով:</w:t>
      </w:r>
    </w:p>
    <w:p>
      <w:pPr>
        <w:numPr>
          <w:ilvl w:val="0"/>
          <w:numId w:val="8"/>
        </w:numPr>
      </w:pPr>
      <w:r>
        <w:rPr/>
        <w:t xml:space="preserve">17-րդ կետից հետո լրացնել հետևյալ բովանդակությամբ նոր 17.1 կետ.</w:t>
      </w:r>
    </w:p>
    <w:p>
      <w:pPr/>
      <w:r>
        <w:rPr/>
        <w:t xml:space="preserve">«17.1 Ցեմենտների մեջ արգելվում է ավելացնել օժանդակ բաղադրիչներ, տեխնոլոգիական և հատուկ հավելույթներ, որոնք բարձրացնում են ցեմենտի վտանգի դասը:»: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«ՑԵՄԵՆՏՆԵՐԻ ՓԱԹԵԹԱՎՈՐՈՒՄԸ, ՓՈԽԱԴՐՈՒՄԸ»</w:t>
      </w:r>
      <w:r>
        <w:rPr/>
        <w:t xml:space="preserve"> և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ՑԵՄԵՆՏՆԵՐԻ ՄԱԿՆՇՈՒՄԸ»</w:t>
      </w:r>
      <w:r>
        <w:rPr/>
        <w:t xml:space="preserve"> գլխի անվանումից հանել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ՑԵՄԵՆՏՆԵՐԻ»</w:t>
      </w:r>
      <w:r>
        <w:rPr/>
        <w:t xml:space="preserve"> բառը:</w:t>
      </w:r>
    </w:p>
    <w:p>
      <w:pPr>
        <w:numPr>
          <w:ilvl w:val="0"/>
          <w:numId w:val="9"/>
        </w:numPr>
      </w:pPr>
      <w:r>
        <w:rPr/>
        <w:t xml:space="preserve">19-րդ կետի «51</w:t>
      </w:r>
      <w:r>
        <w:rPr>
          <w:b w:val="1"/>
          <w:bCs w:val="1"/>
        </w:rPr>
        <w:t xml:space="preserve">»</w:t>
      </w:r>
      <w:r>
        <w:rPr/>
        <w:t xml:space="preserve"> թիվը փոխել «50</w:t>
      </w:r>
      <w:r>
        <w:rPr>
          <w:b w:val="1"/>
          <w:bCs w:val="1"/>
        </w:rPr>
        <w:t xml:space="preserve">»</w:t>
      </w:r>
      <w:r>
        <w:rPr/>
        <w:t xml:space="preserve"> թվով, իսկ «կգ-ն</w:t>
      </w:r>
      <w:r>
        <w:rPr>
          <w:b w:val="1"/>
          <w:bCs w:val="1"/>
        </w:rPr>
        <w:t xml:space="preserve">»</w:t>
      </w:r>
      <w:r>
        <w:rPr/>
        <w:t xml:space="preserve"> բառից հետո լրացնել «, ցեմենտի միջին զանգվածի շեղումը փաթեթում նշված զանգվածի մեջ, չպետք է լինի ավել քան զտաքաշի + 1.0% ; -0,4%:</w:t>
      </w:r>
      <w:r>
        <w:rPr>
          <w:b w:val="1"/>
          <w:bCs w:val="1"/>
        </w:rPr>
        <w:t xml:space="preserve">»</w:t>
      </w:r>
      <w:r>
        <w:rPr/>
        <w:t xml:space="preserve">:</w:t>
      </w:r>
    </w:p>
    <w:p>
      <w:pPr>
        <w:numPr>
          <w:ilvl w:val="0"/>
          <w:numId w:val="9"/>
        </w:numPr>
      </w:pPr>
      <w:r>
        <w:rPr/>
        <w:t xml:space="preserve">20-րդ և 21-րդ կետերը խմբագրել հետևյալ բովանդակությամբ.</w:t>
      </w:r>
    </w:p>
    <w:p>
      <w:pPr>
        <w:jc w:val="both"/>
      </w:pPr>
      <w:r>
        <w:rPr/>
        <w:t xml:space="preserve">«20. Առանց փաթեթվածքի փոխադրման ժամանակ ցեմենտները և կլինկերը պետք է բեռնառաքվեն հատուկ նշանակության փոխադրամիջոցներով (հատուկ սարքավորված մեքենաներ, ավտոցեմենտատարներ, ցեմենտատար վագոններ, նավեր):</w:t>
      </w:r>
    </w:p>
    <w:p>
      <w:pPr>
        <w:jc w:val="both"/>
      </w:pPr>
      <w:r>
        <w:rPr/>
        <w:t xml:space="preserve">«21. Ցեմենտների և կլինկերի յուրաքանչյուր խմբաքանակ պետք է ուղեկցվի ապրանքաուղեկից փաստաթղթերով, որտեղ պետք է նշված լինեն հետևյալ տվյալները՝</w:t>
      </w:r>
    </w:p>
    <w:p>
      <w:pPr>
        <w:numPr>
          <w:ilvl w:val="0"/>
          <w:numId w:val="10"/>
        </w:numPr>
      </w:pPr>
      <w:r>
        <w:rPr/>
        <w:t xml:space="preserve">արտադրող կազմակերպության անվանումը, ապրանքային նշանը և հասցեն,</w:t>
      </w:r>
    </w:p>
    <w:p>
      <w:pPr>
        <w:numPr>
          <w:ilvl w:val="0"/>
          <w:numId w:val="10"/>
        </w:numPr>
      </w:pPr>
      <w:r>
        <w:rPr/>
        <w:t xml:space="preserve">արտադրանքի պայմանական նշագիրը կամ լրիվ անվանումը,</w:t>
      </w:r>
    </w:p>
    <w:p>
      <w:pPr>
        <w:numPr>
          <w:ilvl w:val="0"/>
          <w:numId w:val="10"/>
        </w:numPr>
      </w:pPr>
      <w:r>
        <w:rPr/>
        <w:t xml:space="preserve">խմբաքանակի համարը և բեռնառաքման ամսաթիվը,</w:t>
      </w:r>
    </w:p>
    <w:p>
      <w:pPr>
        <w:numPr>
          <w:ilvl w:val="0"/>
          <w:numId w:val="10"/>
        </w:numPr>
      </w:pPr>
      <w:r>
        <w:rPr/>
        <w:t xml:space="preserve">արտադրանքում հանքային հավելույթների տեսակը և քանակը,</w:t>
      </w:r>
    </w:p>
    <w:p>
      <w:pPr>
        <w:numPr>
          <w:ilvl w:val="0"/>
          <w:numId w:val="10"/>
        </w:numPr>
      </w:pPr>
      <w:r>
        <w:rPr/>
        <w:t xml:space="preserve">արտադրանքի ամրության դասը,</w:t>
      </w:r>
    </w:p>
    <w:p>
      <w:pPr>
        <w:numPr>
          <w:ilvl w:val="0"/>
          <w:numId w:val="10"/>
        </w:numPr>
      </w:pPr>
      <w:r>
        <w:rPr/>
        <w:t xml:space="preserve">արտադրանքի երաշխիքային ժամկետը,</w:t>
      </w:r>
    </w:p>
    <w:p>
      <w:pPr>
        <w:numPr>
          <w:ilvl w:val="0"/>
          <w:numId w:val="10"/>
        </w:numPr>
      </w:pPr>
      <w:r>
        <w:rPr/>
        <w:t xml:space="preserve">փաթեթվածքում արտադրանքի զտաքաշը,</w:t>
      </w:r>
    </w:p>
    <w:p>
      <w:pPr>
        <w:numPr>
          <w:ilvl w:val="0"/>
          <w:numId w:val="10"/>
        </w:numPr>
      </w:pPr>
      <w:r>
        <w:rPr/>
        <w:t xml:space="preserve">բնական ռադիոնուկլիդների տեսակարար արդյունավետ Aէֆ ակտիվությունը,</w:t>
      </w:r>
    </w:p>
    <w:p>
      <w:pPr>
        <w:numPr>
          <w:ilvl w:val="0"/>
          <w:numId w:val="10"/>
        </w:numPr>
      </w:pPr>
      <w:r>
        <w:rPr/>
        <w:t xml:space="preserve">փոխադրամիջոցի համարանիշը,</w:t>
      </w:r>
    </w:p>
    <w:p>
      <w:pPr>
        <w:numPr>
          <w:ilvl w:val="0"/>
          <w:numId w:val="10"/>
        </w:numPr>
      </w:pPr>
      <w:r>
        <w:rPr/>
        <w:t xml:space="preserve">համապատասխանության գնահատման վերաբերյալ տեղեկատվությունը,</w:t>
      </w:r>
    </w:p>
    <w:p>
      <w:pPr>
        <w:numPr>
          <w:ilvl w:val="0"/>
          <w:numId w:val="10"/>
        </w:numPr>
      </w:pPr>
      <w:r>
        <w:rPr/>
        <w:t xml:space="preserve">համապատասխանության ազգային նշանը և նորմատիվ փաստաթղթի նշումը, որի համաձայն արտադրվել է արտադրանքը:»:</w:t>
      </w:r>
    </w:p>
    <w:p>
      <w:pPr>
        <w:numPr>
          <w:ilvl w:val="0"/>
          <w:numId w:val="11"/>
        </w:numPr>
      </w:pPr>
      <w:r>
        <w:rPr/>
        <w:t xml:space="preserve">20-րդ, 22-րդ կետի «ցեմենտը» բառը փոխարինել «ցեմենտները» բառով և հետո լրացնել «, կլինկեր» բառը:</w:t>
      </w:r>
    </w:p>
    <w:p>
      <w:pPr>
        <w:numPr>
          <w:ilvl w:val="0"/>
          <w:numId w:val="11"/>
        </w:numPr>
      </w:pPr>
      <w:r>
        <w:rPr/>
        <w:t xml:space="preserve">23-րդ կետի «պահվի» բառը փոխարինել «պահվեն» բառով:</w:t>
      </w:r>
    </w:p>
    <w:p>
      <w:pPr>
        <w:numPr>
          <w:ilvl w:val="0"/>
          <w:numId w:val="11"/>
        </w:numPr>
      </w:pPr>
      <w:r>
        <w:rPr/>
        <w:t xml:space="preserve">29-րդ կետը29-րդ կետը խմբագրել հետևյալ բովանդակությամբ.</w:t>
      </w:r>
    </w:p>
    <w:p>
      <w:pPr>
        <w:jc w:val="both"/>
      </w:pPr>
      <w:r>
        <w:rPr/>
        <w:t xml:space="preserve">«29. Սույն տեխնիկական կանոնակարգի պահանջներին ցեմենտների, կլինկերի խմբաքանակի կամ սերիական արտադրության համար համապատասխանությունը հավաստելու համար հայտատուն`</w:t>
      </w:r>
    </w:p>
    <w:p>
      <w:pPr>
        <w:jc w:val="both"/>
      </w:pPr>
      <w:r>
        <w:rPr/>
        <w:t xml:space="preserve">1) պետք է կիրառի Հայաստանի Հանրապետության կառավարության 2014 թվականի հունվարի 16-ի N 56-Ն որոշմամբ սահմանված սերտիֆիկացման ընթացակարգերը խմբաքանակի կամ սերիական արտադրության համար.</w:t>
      </w:r>
    </w:p>
    <w:p>
      <w:pPr>
        <w:jc w:val="both"/>
      </w:pPr>
      <w:r>
        <w:rPr/>
        <w:t xml:space="preserve">2) պետք է դնի Հայաստանի Հանրապետության կառավարության 2013 թվականի մարտի 14-ի N 337-Ն որոշմամբ սահմանված համապատասխանության ազգային նշանը ցեմենտների, կլինկերի փաթեթի կամ պիտակի վրա, իսկ գործընթացների համար` նաև օգտագործվող գովազդային նյութերում»:</w:t>
      </w:r>
    </w:p>
    <w:p>
      <w:pPr>
        <w:numPr>
          <w:ilvl w:val="0"/>
          <w:numId w:val="12"/>
        </w:numPr>
      </w:pPr>
      <w:r>
        <w:rPr/>
        <w:t xml:space="preserve">31-րդ կետի 2-րդ նախադասությունը շարադրել հետևյալ բովանդակությամբ. «Սերիական արտադրության ժամանակ ցեմենտների, կլինկերի բաղադրությունը պետք է որոշվի ցեմենտների կլինկերի արտադրման վայրում ընտրված նմուշով` ըստ վկայագրված մեթոդակարգերի:»</w:t>
      </w:r>
    </w:p>
    <w:p>
      <w:pPr>
        <w:numPr>
          <w:ilvl w:val="0"/>
          <w:numId w:val="12"/>
        </w:numPr>
      </w:pPr>
      <w:r>
        <w:rPr/>
        <w:t xml:space="preserve">33-րդ կետից հանել «, եթե համապատասխանության գնահատումն իրականացվել է Զ համապատասխանության գնահատման ընթացակարգով» բառերը:</w:t>
      </w:r>
    </w:p>
    <w:p>
      <w:pPr>
        <w:numPr>
          <w:ilvl w:val="0"/>
          <w:numId w:val="12"/>
        </w:numPr>
      </w:pPr>
      <w:r>
        <w:rPr/>
        <w:t xml:space="preserve">34-րդ կետի.</w:t>
      </w:r>
    </w:p>
    <w:p>
      <w:pPr>
        <w:jc w:val="both"/>
      </w:pPr>
      <w:r>
        <w:rPr/>
        <w:t xml:space="preserve">ա. 1-ին պարբերության «Համապատասխանության» բառից առաջ լրացնել «Սերիական արտադրության» բառերը:</w:t>
      </w:r>
    </w:p>
    <w:p>
      <w:pPr>
        <w:jc w:val="both"/>
      </w:pPr>
      <w:r>
        <w:rPr/>
        <w:t xml:space="preserve">բ. 2-րդ պարբերությունը շարադրել հետևյալ բովանդակությամբ՝</w:t>
      </w:r>
    </w:p>
    <w:p>
      <w:pPr>
        <w:jc w:val="both"/>
      </w:pPr>
      <w:r>
        <w:rPr/>
        <w:t xml:space="preserve">«Խմբաքանակի համապատասխանության սերտիֆիկատի գործողության ժամկետի ընտրությունը պետք է կատարվի ըստ արտադրման ժամկետի, բայց ոչ ավելի քան պիտանիության ժամկետն է:»:</w:t>
      </w:r>
    </w:p>
    <w:p>
      <w:pPr>
        <w:numPr>
          <w:ilvl w:val="0"/>
          <w:numId w:val="13"/>
        </w:numPr>
      </w:pPr>
      <w:r>
        <w:rPr/>
        <w:t xml:space="preserve">35-րդ կետում «ցեմենտների» բառը փոխարինել «արտադրանքի»բառով:</w:t>
      </w:r>
    </w:p>
    <w:p>
      <w:pPr>
        <w:numPr>
          <w:ilvl w:val="0"/>
          <w:numId w:val="13"/>
        </w:numPr>
      </w:pPr>
      <w:r>
        <w:rPr/>
        <w:t xml:space="preserve">37-րդ կետում «արտադրողին և գրավոր ծանուցում ստուգումներ իրականացնող իրավասու մարմիններին» բառերը փոխարինել «հայտատուին, արտադրողին և գրավոր ծանուցում է պետական վերահսկողություն իրականացնող մարմիններին» բառերով:</w:t>
      </w:r>
    </w:p>
    <w:p>
      <w:pPr>
        <w:numPr>
          <w:ilvl w:val="0"/>
          <w:numId w:val="13"/>
        </w:numPr>
      </w:pPr>
      <w:r>
        <w:rPr/>
        <w:t xml:space="preserve">39-րդ կետի «Համապատասխանության գնահատման մասին» բառերը փոխարինել ««Տեխնիկական կանոնակարգման մասին», «Հայաստանի Հանրապետությունում ստուգումների կազմակերպման և անցկացման մասին»» բառերով, «սահմանված կարգով» բառերից առաջ լրացնել «և այլ իրավական ակտերով» բառերը:</w:t>
      </w:r>
    </w:p>
    <w:p>
      <w:pPr>
        <w:numPr>
          <w:ilvl w:val="0"/>
          <w:numId w:val="14"/>
        </w:numPr>
      </w:pPr>
      <w:r>
        <w:rPr/>
        <w:t xml:space="preserve">Հայաստանի Հանրապետության էկոնոմիկայի նախարարին՝ սույն որոշման պաշտոնական հրապարակմանը հաջորդող երկամսյա ժամկետում ապահովել սույն որոշման 2-րդ կետով սահմանված պահանջների կիրարկումն ապահովող և կամավոր սկզբունքով կիրառվող ստանդարտների ցանկի հրապարակումը:</w:t>
      </w:r>
    </w:p>
    <w:p>
      <w:pPr>
        <w:numPr>
          <w:ilvl w:val="0"/>
          <w:numId w:val="14"/>
        </w:numPr>
      </w:pPr>
      <w:r>
        <w:rPr/>
        <w:t xml:space="preserve">Սույն որոշումն ուժի մեջ է մտնում պաշտոնական հրապարակման օրվան հաջորդող 180-երորդ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8F2A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254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27A43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92A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F34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71A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00C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251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108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550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6C9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9FD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BCDA6D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2026-04-03T20:35:43+04:00</dcterms:created>
  <dcterms:modified xsi:type="dcterms:W3CDTF">2026-04-03T20:35:43+04:00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