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հունիսի 23-ի N 646 –Ն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 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      N   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 2016 ԹՎԱԿԱՆԻ ՀՈՒՆԻՍԻ     23-Ի N 646 - Ն</w:t>
      </w:r>
      <w:r>
        <w:rPr>
          <w:b w:val="1"/>
          <w:bCs w:val="1"/>
        </w:rPr>
        <w:t xml:space="preserve"> ՈՐՈՇՄԱՆ ՄԵՋ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Հայասատանի Հանրապետության օրենքի 34-րդ հոդվածով՝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հունիսի 23-ի «Հայաստանի խաղողագործության և գինեգործության հիմնադրամ ստեղծելու և «Հայաստանի Հանրապետության 2016 թվականի պետական բյուջեի մասին» Հայաստանի Հանրապետության օրենքում ու Հայաստանի Հանրապետության կառավարության 2015 թվականի դեկտեմբերի 24-ի N 1555-Ն որոշման մեջ փոփոխություններ և լրացումներ կատարելու մասին» N 646-Ն որոշման`</w:t>
      </w:r>
    </w:p>
    <w:p>
      <w:pPr/>
      <w:r>
        <w:rPr/>
        <w:t xml:space="preserve">1) 2-րդ կետի «գյուղատնտեսության» բառը փոխարինել «էկոնոմիկայի» բառով,</w:t>
      </w:r>
    </w:p>
    <w:p>
      <w:pPr/>
      <w:r>
        <w:rPr/>
        <w:t xml:space="preserve">2) N 1 հավելվածի՝</w:t>
      </w:r>
    </w:p>
    <w:p>
      <w:pPr/>
      <w:r>
        <w:rPr/>
        <w:t xml:space="preserve">ա. 3-րդ և 29-րդ կետերի «գյուղատնտեսության» բառը փոխարինել «էկոնոմիկայի» բառով.</w:t>
      </w:r>
    </w:p>
    <w:p>
      <w:pPr/>
      <w:r>
        <w:rPr/>
        <w:t xml:space="preserve">բ. 14-րդ կետը շարադրել հետևյալ խմբագրությամբ՝ «14. Հիմնադրամի հիմնական գործառույթներն են`</w:t>
      </w:r>
    </w:p>
    <w:p>
      <w:pPr/>
      <w:r>
        <w:rPr/>
        <w:t xml:space="preserve">1) խաղողի կենսաբազմազանության պահպանման, գինու արտադրության համար ներուժ ունեցող՝ տեղական և միջազգային ճանաչում ունեցող խաղողի սորտերի ընտրության և դրանց բազմացման գործընթացներին աջակցելը.</w:t>
      </w:r>
    </w:p>
    <w:p>
      <w:pPr/>
      <w:r>
        <w:rPr/>
        <w:t xml:space="preserve">2) խաղողի՝ որպես գինեգործության հումքի որակի բարելավմանն ուղղված ծրագրերի մշակմանը և իրականացմանը մասնակցելը.</w:t>
      </w:r>
    </w:p>
    <w:p>
      <w:pPr/>
      <w:r>
        <w:rPr/>
        <w:t xml:space="preserve">3) խաղողի վնասատուների և հիվանդությունների ռիսկերի գնահատելը և ռիսկերի  կանխարգելման և կառավարման առաջարկություններ ներկայացնելը,</w:t>
      </w:r>
    </w:p>
    <w:p>
      <w:pPr/>
      <w:r>
        <w:rPr/>
        <w:t xml:space="preserve">4) ըստ անհրաժեշտության խաղողագործության և գինեգործության ոլորտների օրենսդրական փոփոխություններ նախաձեռնելը և դրանց մասնակցելը` ապահովելով օրենսդրական դաշտի ամբողջականացումը և համապատասխանեցումը միջազգային չափանիշներին.</w:t>
      </w:r>
    </w:p>
    <w:p>
      <w:pPr/>
      <w:r>
        <w:rPr/>
        <w:t xml:space="preserve">5) խաղողագործների և մթերող կազմակերպությունների միջև անհրաժեշտ փոխհարաբերությունների, մասնավորապես՝ երկարաժամկետ պայմանագրային փոխհարաբերությունների ձևավորմանն աջակցելը.</w:t>
      </w:r>
    </w:p>
    <w:p>
      <w:pPr/>
      <w:r>
        <w:rPr/>
        <w:t xml:space="preserve">6) խաղողագործության և գինեգործության զարգացման ծրագրերի մշակմանն ու դրանց իրականացմանը մասնակցելը.</w:t>
      </w:r>
    </w:p>
    <w:p>
      <w:pPr/>
      <w:r>
        <w:rPr/>
        <w:t xml:space="preserve">7) գինեգործական ընկերությունների տեխնիկական և տեխնոլոգիական կարողությունների զարգացմանն աջակցելը.</w:t>
      </w:r>
    </w:p>
    <w:p>
      <w:pPr/>
      <w:r>
        <w:rPr/>
        <w:t xml:space="preserve">8) արտահանման թիրախային շուկաները հետազոտելը, գործարար շրջանակների հետ կապեր հաստատելը,  </w:t>
      </w:r>
    </w:p>
    <w:p>
      <w:pPr/>
      <w:r>
        <w:rPr/>
        <w:t xml:space="preserve">9) հայկական գինու իրազեկմանն ուղղված մարքեթինգային և գովազդային գործունեություն իրականացնելը.</w:t>
      </w:r>
    </w:p>
    <w:p>
      <w:pPr/>
      <w:r>
        <w:rPr/>
        <w:t xml:space="preserve">10) խաղողագործության և գինեգործության ոլորտների տեղական և միջազգային կազմակերպությունների հետ փոխհարաբերություններ հաստատելը, համատեղ ծրագրեր իրականացնելը.</w:t>
      </w:r>
    </w:p>
    <w:p>
      <w:pPr/>
      <w:r>
        <w:rPr/>
        <w:t xml:space="preserve">11) Խաղողագործության և գինեգործության միջազգային կազմակերպությանը (ՕIV) Հայաստանի Հանրապետության անդամակցությունից բխող գործառույթների պատշաճ իրականացմանն աջակցելը.</w:t>
      </w:r>
    </w:p>
    <w:p>
      <w:pPr/>
      <w:r>
        <w:rPr/>
        <w:t xml:space="preserve">12) գինու միասնական հայկական ապրանքանիշը և դրա չափորոշիչները մշակելը, օգտագործման համար ապրանքանիշի տրամադրելը և դրա պատշաճ օգտագործումն ահավովելը, միջազգային շուկաներում ապրանքանիշի ճանաչմանը և առաջմղմանն աջակցելը (ապրանքանիշի շնորհման գործառույթները պետք է սահմանվեն և իրականացվեն միջազգային ու Հայաստանի Հանրապետության օրենսդրության պահանջներին, նորմերին և կանոններին համապատասխան).</w:t>
      </w:r>
    </w:p>
    <w:p>
      <w:pPr/>
      <w:r>
        <w:rPr/>
        <w:t xml:space="preserve">13) աշխարհագրական նշումով գինեգործական արտադրանքի տեխնիկական հատկորոշիչների մշակմանն աջակցելը և գրանցված աշխարհագրական նշումով գինեգործական արտադրանքի համար սահմանված պահանջների նկատմամբ վերահսկողությանը մասնակցելը՝ համապատասխան հավատարմագրման հիման վրա.</w:t>
      </w:r>
    </w:p>
    <w:p>
      <w:pPr/>
      <w:r>
        <w:rPr/>
        <w:t xml:space="preserve">14) Հայաստանում գինու սպառման մշակույթի զարգացումը խթանելը՝ բարձրացնելով բնակչության տեղեկացվածությունը գինու վերաբերյալ, և հայրենական որակյալ գինու նկատմամբ պահանջարկ ձևավորելը.</w:t>
      </w:r>
    </w:p>
    <w:p>
      <w:pPr/>
      <w:r>
        <w:rPr/>
        <w:t xml:space="preserve">15) ցուցահանդեսներին, տոնավաճառներին, համաժողովներին, փառատոներին, համտեսներին, ինչպես նաև այլ նմանատիպ միջոցառումներին խաղողագործության և գինեգործության ոլորտների տնտեսվարողների մասնակցությանն աջակցելը (կազմակերպելը).</w:t>
      </w:r>
    </w:p>
    <w:p>
      <w:pPr/>
      <w:r>
        <w:rPr/>
        <w:t xml:space="preserve">16) խաղողագործության և գինեգործության ոլորտներին պետական աջակցություն ցուցաբերող այլ կառույցների հետ համագործակցելը.</w:t>
      </w:r>
    </w:p>
    <w:p>
      <w:pPr/>
      <w:r>
        <w:rPr/>
        <w:t xml:space="preserve">17) գինու զբոսաշրջության զարգացմանն աջակցելը.</w:t>
      </w:r>
    </w:p>
    <w:p>
      <w:pPr/>
      <w:r>
        <w:rPr/>
        <w:t xml:space="preserve">18) Հայաստանի Հանրապետության օրենսդրությամբ չարգելված և հիմնադրամի նպատակներից բխող այլ գործառույթներ.</w:t>
      </w:r>
    </w:p>
    <w:p>
      <w:pPr/>
      <w:r>
        <w:rPr/>
        <w:t xml:space="preserve">19) վերոնշյալ գործառույթներից բխող ծառայությունների մատուցելը:».</w:t>
      </w:r>
    </w:p>
    <w:p>
      <w:pPr/>
      <w:r>
        <w:rPr/>
        <w:t xml:space="preserve">գ. 26-րդ կետը շարադրել հետևյալ խմբագրությամբ՝</w:t>
      </w:r>
    </w:p>
    <w:p>
      <w:pPr/>
      <w:r>
        <w:rPr/>
        <w:t xml:space="preserve">         «26. Հիմնադրամի կառավարման բարձրագույն և հսկողություն իրականացնող մարմինը խորհուրդն է: Խորհրդի առաջին կազմի անդամների լիազորություններն սկսվում են հիմնադրամի պետական գրանցման հաջորդ օրվանից, եթե նշանակվել են խորհրդի բոլոր անդամները: Խորհուրդը բաղկացած է 13 անդամից, որոնցից 7-ը պետական կառավարման մարմինների ներկայացուցիչներ են` Հայաստանի Հանրապետության էկոնոմիկայի նախարարը, մեկական ներկայացուցիչ` Հայաստանի Հանրապետության վարչապետի կողմից, Հայաստանի Հանրապետության վարչապետի աշխատակազմից, Հայաստանի Հանրապետության արտաքին գործերի նախարարությունից, Հայաստանի Հանրապետության տարածքային կառավարման և ենթակառուցվածքների նախարարությունից, երկու ներկայացուցիչ՝ Հայաստանի Հանրապետության էկոնոմիկայի նախարարությունից, իսկ 6-ը՝ Հայաստանի Հանրապետության էկոնոմիկայի նախարարի ներկայացմամբ՝ ոլորտի մասնավոր և գիտական հատվածի ներկայացուցիչներ, որոնք նշանակվում են ռոտացիոն սկզբունքով` երկու տարի ժամկետով: Խորհրդի անհատական կազմը հաստատվում է Հայաստանի Հանրապետության վարչապետի որոշմամբ: Հիմնադրամի տնօրենը խորհրդի քարտուղարն է: Խորհրդի անդամները չեն կարող լինել հիմնադրամի մեկ այլ մարմնի անդամ։»։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65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EB275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2026-03-31T03:54:45+04:00</dcterms:created>
  <dcterms:modified xsi:type="dcterms:W3CDTF">2026-03-31T03:54:45+04:00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